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99-e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w:t>
      </w:r>
      <w:r>
        <w:rPr>
          <w:rFonts w:hint="eastAsia" w:ascii="Arial" w:hAnsi="Arial" w:eastAsia="宋体" w:cs="Times New Roman"/>
          <w:b/>
          <w:bCs/>
          <w:sz w:val="24"/>
          <w:szCs w:val="24"/>
          <w:lang w:val="en-US" w:eastAsia="zh-CN"/>
        </w:rPr>
        <w:t>2109751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19</w:t>
      </w:r>
      <w:r>
        <w:rPr>
          <w:rFonts w:hint="eastAsia" w:ascii="Arial" w:hAnsi="Arial" w:eastAsia="宋体"/>
          <w:b/>
          <w:sz w:val="24"/>
          <w:szCs w:val="24"/>
          <w:lang w:val="en-US" w:eastAsia="zh-CN"/>
        </w:rPr>
        <w:t>th</w:t>
      </w:r>
      <w:r>
        <w:rPr>
          <w:rFonts w:ascii="Arial" w:hAnsi="Arial" w:eastAsia="宋体"/>
          <w:b/>
          <w:sz w:val="24"/>
          <w:szCs w:val="24"/>
          <w:lang w:eastAsia="zh-CN"/>
        </w:rPr>
        <w:t>-27</w:t>
      </w:r>
      <w:r>
        <w:rPr>
          <w:rFonts w:hint="eastAsia" w:ascii="Arial" w:hAnsi="Arial" w:eastAsia="宋体"/>
          <w:b/>
          <w:sz w:val="24"/>
          <w:szCs w:val="24"/>
          <w:lang w:val="en-US" w:eastAsia="zh-CN"/>
        </w:rPr>
        <w:t>th</w:t>
      </w:r>
      <w:r>
        <w:rPr>
          <w:rFonts w:ascii="Arial" w:hAnsi="Arial" w:eastAsia="宋体"/>
          <w:b/>
          <w:sz w:val="24"/>
          <w:szCs w:val="24"/>
          <w:lang w:eastAsia="zh-CN"/>
        </w:rPr>
        <w:t>, May</w:t>
      </w:r>
      <w:r>
        <w:rPr>
          <w:rFonts w:hint="eastAsia" w:ascii="Arial" w:hAnsi="Arial" w:eastAsia="宋体"/>
          <w:b/>
          <w:sz w:val="24"/>
          <w:szCs w:val="24"/>
          <w:lang w:val="en-US" w:eastAsia="zh-CN"/>
        </w:rPr>
        <w:t xml:space="preserve">,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MRTD requirements for inter-band DL CA in FR2</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9.4.7.1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eastAsia" w:eastAsia="宋体"/>
          <w:sz w:val="20"/>
          <w:lang w:val="en-US" w:eastAsia="zh-CN"/>
        </w:rPr>
      </w:pPr>
      <w:r>
        <w:rPr>
          <w:rFonts w:hint="eastAsia" w:eastAsia="宋体"/>
          <w:sz w:val="22"/>
          <w:lang w:val="en-US" w:eastAsia="zh-CN"/>
        </w:rPr>
        <w:t>In this contribution ,we provide our futher views on MRTD requirements for FR2 inter-band DL CA.</w:t>
      </w:r>
    </w:p>
    <w:p>
      <w:pPr>
        <w:rPr>
          <w:rFonts w:hint="eastAsia" w:eastAsia="宋体"/>
          <w:sz w:val="20"/>
          <w:lang w:val="en-US" w:eastAsia="zh-CN"/>
        </w:rPr>
      </w:pPr>
    </w:p>
    <w:p>
      <w:pPr>
        <w:pStyle w:val="29"/>
        <w:numPr>
          <w:ilvl w:val="0"/>
          <w:numId w:val="6"/>
        </w:numPr>
        <w:jc w:val="both"/>
        <w:rPr>
          <w:rFonts w:hint="eastAsia"/>
          <w:lang w:val="en-US" w:eastAsia="zh-CN"/>
        </w:rPr>
      </w:pPr>
      <w:r>
        <w:rPr>
          <w:rFonts w:hint="eastAsia"/>
          <w:lang w:val="en-US" w:eastAsia="zh-CN"/>
        </w:rPr>
        <w:t>Discussions</w:t>
      </w:r>
    </w:p>
    <w:p>
      <w:pPr>
        <w:rPr>
          <w:rFonts w:hint="default" w:eastAsia="宋体"/>
          <w:sz w:val="22"/>
          <w:lang w:val="en-US" w:eastAsia="zh-CN"/>
        </w:rPr>
      </w:pPr>
      <w:r>
        <w:rPr>
          <w:rFonts w:hint="eastAsia" w:eastAsia="宋体"/>
          <w:sz w:val="22"/>
          <w:lang w:eastAsia="zh-CN"/>
        </w:rPr>
        <w:t>In RAN4 9</w:t>
      </w:r>
      <w:r>
        <w:rPr>
          <w:rFonts w:hint="eastAsia" w:eastAsia="宋体"/>
          <w:sz w:val="22"/>
          <w:lang w:val="en-US" w:eastAsia="zh-CN"/>
        </w:rPr>
        <w:t>8bis-e</w:t>
      </w:r>
      <w:r>
        <w:rPr>
          <w:rFonts w:hint="eastAsia" w:eastAsia="宋体"/>
          <w:sz w:val="22"/>
          <w:lang w:eastAsia="zh-CN"/>
        </w:rPr>
        <w:t xml:space="preserve">, </w:t>
      </w:r>
      <w:r>
        <w:rPr>
          <w:rFonts w:hint="eastAsia" w:eastAsia="宋体"/>
          <w:sz w:val="22"/>
          <w:lang w:val="en-US" w:eastAsia="zh-CN"/>
        </w:rPr>
        <w:t xml:space="preserve">MRTD requirements for inter-band DL CA in FR2 had been discussed and some agreements were achieved. </w:t>
      </w:r>
    </w:p>
    <w:p>
      <w:pPr>
        <w:pBdr>
          <w:top w:val="single" w:color="auto" w:sz="4" w:space="0"/>
          <w:left w:val="single" w:color="auto" w:sz="4" w:space="0"/>
          <w:bottom w:val="single" w:color="auto" w:sz="4" w:space="0"/>
          <w:right w:val="single" w:color="auto" w:sz="4" w:space="0"/>
        </w:pBdr>
        <w:rPr>
          <w:rFonts w:hint="default" w:eastAsia="宋体"/>
          <w:i/>
          <w:iCs/>
          <w:sz w:val="22"/>
          <w:highlight w:val="none"/>
          <w:lang w:val="en-US" w:eastAsia="zh-CN"/>
        </w:rPr>
      </w:pPr>
      <w:r>
        <w:rPr>
          <w:rFonts w:hint="default" w:eastAsia="宋体"/>
          <w:i/>
          <w:iCs/>
          <w:sz w:val="22"/>
          <w:highlight w:val="none"/>
          <w:lang w:val="en-US" w:eastAsia="zh-CN"/>
        </w:rPr>
        <w:t>Agreements (in GTW):</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Candidate options</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Option 1: Do not define any requirements for CBM UEs for FR2 inter-band CA</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 xml:space="preserve">Option 2: Introduce UE capability to support MRTD = 260ns and MRTD = 3us </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 xml:space="preserve">Option 3: MRTD = 260ns </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Option 4: MRTD = 3us</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Other options are not precluded</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Note 1: Decision shall be made in RAN4 #99-e</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Note 2: Companies are encouraged to bring further analysis on achievable MRTD from the network and UE perspectives and the possible impact on the implementation and performance</w:t>
      </w:r>
    </w:p>
    <w:p>
      <w:pPr>
        <w:rPr>
          <w:rFonts w:hint="default" w:eastAsia="宋体"/>
          <w:sz w:val="22"/>
          <w:lang w:val="en-US" w:eastAsia="zh-CN"/>
        </w:rPr>
      </w:pPr>
    </w:p>
    <w:p>
      <w:pPr>
        <w:rPr>
          <w:rFonts w:hint="eastAsia" w:eastAsia="宋体"/>
          <w:sz w:val="22"/>
          <w:lang w:val="en-US" w:eastAsia="zh-CN"/>
        </w:rPr>
      </w:pPr>
      <w:r>
        <w:rPr>
          <w:rFonts w:hint="eastAsia" w:eastAsia="宋体"/>
          <w:sz w:val="22"/>
          <w:lang w:val="en-US" w:eastAsia="zh-CN"/>
        </w:rPr>
        <w:t xml:space="preserve">The issue related to MRTD value </w:t>
      </w:r>
      <w:r>
        <w:rPr>
          <w:rFonts w:hint="default" w:eastAsia="宋体"/>
          <w:sz w:val="22"/>
          <w:lang w:val="en-US" w:eastAsia="zh-CN"/>
        </w:rPr>
        <w:t>“</w:t>
      </w:r>
      <w:r>
        <w:rPr>
          <w:rFonts w:hint="eastAsia" w:eastAsia="宋体"/>
          <w:i/>
          <w:iCs/>
          <w:sz w:val="22"/>
          <w:lang w:val="en-US" w:eastAsia="zh-CN"/>
        </w:rPr>
        <w:t>How to derive MRTD for FR2 inter-band CA?</w:t>
      </w:r>
      <w:r>
        <w:rPr>
          <w:rFonts w:hint="default" w:eastAsia="宋体"/>
          <w:sz w:val="22"/>
          <w:lang w:val="en-US" w:eastAsia="zh-CN"/>
        </w:rPr>
        <w:t>”</w:t>
      </w:r>
      <w:r>
        <w:rPr>
          <w:rFonts w:hint="eastAsia" w:eastAsia="宋体"/>
          <w:sz w:val="22"/>
          <w:lang w:val="en-US" w:eastAsia="zh-CN"/>
        </w:rPr>
        <w:t xml:space="preserve"> was also discussed and the following options were listed:</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Option 1: MRTD = TAE + Δ_propagation_time (Ericsson, NEC, Nokia, Huawei, Docomo)</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 xml:space="preserve">Option 1a: Any change in MRTD should not impact already defined BS TAE of 3 μs for FR2 inter-band CA; i.e. keep Rel-15 values for BS TAE unchanged. </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Option 2: MRTD requirements for CBM UEs should not rely on FR2 inter-band TAE requirement as it was defined for Non-co-located deployments. (Intel, Qualcomm, LG, MTK, OPPO, Apple, Xiaomi, vivo)</w:t>
      </w:r>
    </w:p>
    <w:p>
      <w:pPr>
        <w:pBdr>
          <w:top w:val="single" w:color="auto" w:sz="4" w:space="0"/>
          <w:left w:val="single" w:color="auto" w:sz="4" w:space="0"/>
          <w:bottom w:val="single" w:color="auto" w:sz="4" w:space="0"/>
          <w:right w:val="single" w:color="auto" w:sz="4" w:space="0"/>
        </w:pBdr>
        <w:rPr>
          <w:rFonts w:hint="default" w:eastAsia="宋体"/>
          <w:i/>
          <w:iCs/>
          <w:sz w:val="22"/>
          <w:lang w:val="en-US" w:eastAsia="zh-CN"/>
        </w:rPr>
      </w:pPr>
      <w:r>
        <w:rPr>
          <w:rFonts w:hint="default" w:eastAsia="宋体"/>
          <w:i/>
          <w:iCs/>
          <w:sz w:val="22"/>
          <w:lang w:val="en-US" w:eastAsia="zh-CN"/>
        </w:rPr>
        <w:t>Option 2a: The requirement shall be based on “BS type 1-0” for which TAE requirement is 260ns (Qualcomm)</w:t>
      </w:r>
    </w:p>
    <w:p>
      <w:pPr>
        <w:rPr>
          <w:rFonts w:hint="default" w:eastAsia="宋体"/>
          <w:sz w:val="22"/>
          <w:lang w:val="en-US" w:eastAsia="zh-CN"/>
        </w:rPr>
      </w:pPr>
    </w:p>
    <w:p>
      <w:pPr>
        <w:spacing w:line="240" w:lineRule="auto"/>
        <w:rPr>
          <w:rFonts w:hint="eastAsia" w:eastAsia="宋体"/>
          <w:sz w:val="22"/>
          <w:szCs w:val="22"/>
          <w:lang w:val="en-US" w:eastAsia="zh-CN"/>
        </w:rPr>
      </w:pPr>
      <w:r>
        <w:rPr>
          <w:rFonts w:hint="eastAsia" w:eastAsia="宋体"/>
          <w:sz w:val="22"/>
          <w:lang w:val="en-US" w:eastAsia="zh-CN"/>
        </w:rPr>
        <w:t xml:space="preserve">Based on the former discussion, MRTD value is related to TAE and </w:t>
      </w:r>
      <w:r>
        <w:rPr>
          <w:rFonts w:hint="default" w:eastAsia="宋体"/>
          <w:i w:val="0"/>
          <w:iCs w:val="0"/>
          <w:sz w:val="22"/>
          <w:lang w:val="en-US" w:eastAsia="zh-CN"/>
        </w:rPr>
        <w:t>Δ_propagation_time</w:t>
      </w:r>
      <w:r>
        <w:rPr>
          <w:rFonts w:hint="eastAsia" w:eastAsia="宋体"/>
          <w:sz w:val="22"/>
          <w:lang w:val="en-US" w:eastAsia="zh-CN"/>
        </w:rPr>
        <w:t xml:space="preserve">. </w:t>
      </w:r>
      <w:r>
        <w:rPr>
          <w:rFonts w:hint="eastAsia" w:eastAsia="宋体"/>
          <w:sz w:val="22"/>
          <w:szCs w:val="22"/>
          <w:lang w:val="en-US" w:eastAsia="zh-CN"/>
        </w:rPr>
        <w:t>P</w:t>
      </w:r>
      <w:r>
        <w:rPr>
          <w:rFonts w:eastAsia="宋体"/>
          <w:sz w:val="22"/>
          <w:szCs w:val="22"/>
          <w:lang w:val="en-US" w:eastAsia="zh-CN"/>
        </w:rPr>
        <w:t>ropagation delay difference</w:t>
      </w:r>
      <w:r>
        <w:rPr>
          <w:rFonts w:hint="eastAsia" w:eastAsia="宋体"/>
          <w:sz w:val="22"/>
          <w:szCs w:val="22"/>
          <w:lang w:val="en-US" w:eastAsia="zh-CN"/>
        </w:rPr>
        <w:t xml:space="preserve"> between serving cells depends on network deployment. </w:t>
      </w:r>
      <w:r>
        <w:rPr>
          <w:rFonts w:hint="eastAsia" w:eastAsia="宋体"/>
          <w:sz w:val="22"/>
          <w:lang w:val="en-US" w:eastAsia="zh-CN"/>
        </w:rPr>
        <w:t xml:space="preserve">When considering co-located deployment for inter-band DL CA, CCs may go through the same channel conditions, thus the </w:t>
      </w:r>
      <w:r>
        <w:rPr>
          <w:rFonts w:hint="eastAsia" w:eastAsia="宋体"/>
          <w:sz w:val="22"/>
          <w:szCs w:val="22"/>
          <w:lang w:val="en-US" w:eastAsia="zh-CN"/>
        </w:rPr>
        <w:t>p</w:t>
      </w:r>
      <w:r>
        <w:rPr>
          <w:rFonts w:eastAsia="宋体"/>
          <w:sz w:val="22"/>
          <w:szCs w:val="22"/>
          <w:lang w:val="en-US" w:eastAsia="zh-CN"/>
        </w:rPr>
        <w:t>ropagation delay difference</w:t>
      </w:r>
      <w:r>
        <w:rPr>
          <w:rFonts w:hint="eastAsia" w:eastAsia="宋体"/>
          <w:sz w:val="22"/>
          <w:szCs w:val="22"/>
          <w:lang w:val="en-US" w:eastAsia="zh-CN"/>
        </w:rPr>
        <w:t xml:space="preserve"> between CCs will not impact the MRTD value much.  </w:t>
      </w:r>
    </w:p>
    <w:p>
      <w:pPr>
        <w:spacing w:line="240" w:lineRule="auto"/>
        <w:rPr>
          <w:rFonts w:hint="eastAsia" w:eastAsia="宋体"/>
          <w:sz w:val="22"/>
          <w:lang w:val="en-US" w:eastAsia="zh-CN"/>
        </w:rPr>
      </w:pPr>
      <w:r>
        <w:rPr>
          <w:rFonts w:hint="eastAsia" w:eastAsia="宋体"/>
          <w:sz w:val="22"/>
          <w:szCs w:val="22"/>
          <w:lang w:val="en-US" w:eastAsia="zh-CN"/>
        </w:rPr>
        <w:t xml:space="preserve">As for TAE, </w:t>
      </w:r>
      <w:r>
        <w:rPr>
          <w:rFonts w:hint="eastAsia" w:eastAsia="宋体"/>
          <w:sz w:val="22"/>
          <w:lang w:val="en-US" w:eastAsia="zh-CN"/>
        </w:rPr>
        <w:t>Although Option 2 states that“</w:t>
      </w:r>
      <w:r>
        <w:rPr>
          <w:rFonts w:hint="default" w:eastAsia="宋体"/>
          <w:i/>
          <w:iCs/>
          <w:sz w:val="22"/>
          <w:lang w:val="en-US" w:eastAsia="zh-CN"/>
        </w:rPr>
        <w:t>MRTD requirements for CBM UEs should not rely on FR2 inter-band TAE requirement</w:t>
      </w:r>
      <w:r>
        <w:rPr>
          <w:rFonts w:hint="eastAsia" w:eastAsia="宋体"/>
          <w:i/>
          <w:iCs/>
          <w:sz w:val="22"/>
          <w:lang w:val="en-US" w:eastAsia="zh-CN"/>
        </w:rPr>
        <w:t xml:space="preserve"> </w:t>
      </w:r>
      <w:r>
        <w:rPr>
          <w:rFonts w:hint="default" w:eastAsia="宋体"/>
          <w:i/>
          <w:iCs/>
          <w:sz w:val="22"/>
          <w:lang w:val="en-US" w:eastAsia="zh-CN"/>
        </w:rPr>
        <w:t>as it was defined for Non-co-located deployments</w:t>
      </w:r>
      <w:r>
        <w:rPr>
          <w:rFonts w:hint="default" w:eastAsia="宋体"/>
          <w:sz w:val="22"/>
          <w:lang w:val="en-US" w:eastAsia="zh-CN"/>
        </w:rPr>
        <w:t>”</w:t>
      </w:r>
      <w:r>
        <w:rPr>
          <w:rFonts w:hint="eastAsia" w:eastAsia="宋体"/>
          <w:sz w:val="22"/>
          <w:lang w:val="en-US" w:eastAsia="zh-CN"/>
        </w:rPr>
        <w:t>, option 2a proposes another TAE requirement to be considered.</w:t>
      </w:r>
    </w:p>
    <w:p>
      <w:pPr>
        <w:keepNext w:val="0"/>
        <w:keepLines w:val="0"/>
        <w:pageBreakBefore w:val="0"/>
        <w:widowControl/>
        <w:kinsoku/>
        <w:wordWrap/>
        <w:overflowPunct/>
        <w:topLinePunct w:val="0"/>
        <w:autoSpaceDE/>
        <w:autoSpaceDN/>
        <w:bidi w:val="0"/>
        <w:adjustRightInd/>
        <w:snapToGrid/>
        <w:spacing w:after="40" w:line="240" w:lineRule="auto"/>
        <w:textAlignment w:val="auto"/>
        <w:rPr>
          <w:rFonts w:hint="eastAsia" w:eastAsia="宋体"/>
          <w:sz w:val="22"/>
          <w:lang w:val="en-US" w:eastAsia="zh-CN"/>
        </w:rPr>
      </w:pPr>
      <w:r>
        <w:rPr>
          <w:rFonts w:hint="eastAsia" w:eastAsia="宋体"/>
          <w:sz w:val="22"/>
          <w:lang w:val="en-US" w:eastAsia="zh-CN"/>
        </w:rPr>
        <w:t xml:space="preserve">From TS 38.104 </w:t>
      </w:r>
      <w:bookmarkStart w:id="4" w:name="_Toc21127657"/>
      <w:bookmarkStart w:id="5" w:name="_Toc37260340"/>
      <w:bookmarkStart w:id="6" w:name="_Toc36817418"/>
      <w:bookmarkStart w:id="7" w:name="_Toc37267728"/>
      <w:bookmarkStart w:id="8" w:name="_Toc29811866"/>
      <w:bookmarkStart w:id="9" w:name="_Toc44712331"/>
      <w:bookmarkStart w:id="10" w:name="_Toc45893644"/>
      <w:r>
        <w:rPr>
          <w:rFonts w:hint="eastAsia" w:eastAsia="宋体"/>
          <w:i/>
          <w:iCs/>
          <w:sz w:val="22"/>
          <w:lang w:val="en-US" w:eastAsia="zh-CN"/>
        </w:rPr>
        <w:t>9.6.3 OTA time alignment error</w:t>
      </w:r>
      <w:bookmarkEnd w:id="4"/>
      <w:bookmarkEnd w:id="5"/>
      <w:bookmarkEnd w:id="6"/>
      <w:bookmarkEnd w:id="7"/>
      <w:bookmarkEnd w:id="8"/>
      <w:bookmarkEnd w:id="9"/>
      <w:bookmarkEnd w:id="10"/>
      <w:r>
        <w:rPr>
          <w:rFonts w:hint="eastAsia" w:eastAsia="宋体"/>
          <w:sz w:val="22"/>
          <w:lang w:val="en-US" w:eastAsia="zh-CN"/>
        </w:rPr>
        <w:t>,the Minimum requirement</w:t>
      </w:r>
      <w:r>
        <w:rPr>
          <w:rFonts w:hint="eastAsia" w:eastAsia="宋体"/>
          <w:sz w:val="22"/>
          <w:lang w:val="en-US" w:eastAsia="ja-JP"/>
        </w:rPr>
        <w:t xml:space="preserve"> for BS type 1-O</w:t>
      </w:r>
      <w:r>
        <w:rPr>
          <w:rFonts w:hint="eastAsia" w:eastAsia="宋体"/>
          <w:sz w:val="22"/>
          <w:lang w:val="en-US" w:eastAsia="zh-CN"/>
        </w:rPr>
        <w:t xml:space="preserve"> are:</w:t>
      </w:r>
    </w:p>
    <w:p>
      <w:pPr>
        <w:keepNext w:val="0"/>
        <w:keepLines w:val="0"/>
        <w:pageBreakBefore w:val="0"/>
        <w:widowControl/>
        <w:kinsoku/>
        <w:wordWrap/>
        <w:overflowPunct/>
        <w:topLinePunct w:val="0"/>
        <w:autoSpaceDE/>
        <w:autoSpaceDN/>
        <w:bidi w:val="0"/>
        <w:adjustRightInd/>
        <w:snapToGrid/>
        <w:spacing w:after="0" w:line="240" w:lineRule="auto"/>
        <w:textAlignment w:val="auto"/>
        <w:rPr>
          <w:i/>
          <w:iCs/>
          <w:sz w:val="22"/>
          <w:szCs w:val="22"/>
        </w:rPr>
      </w:pPr>
      <w:r>
        <w:rPr>
          <w:i/>
          <w:iCs/>
          <w:sz w:val="22"/>
          <w:szCs w:val="22"/>
        </w:rPr>
        <w:t xml:space="preserve">For intra-band contiguous carrier aggregation, with or without MIMO, OTA TAE shall not exceed </w:t>
      </w:r>
      <w:r>
        <w:rPr>
          <w:i/>
          <w:iCs/>
          <w:sz w:val="22"/>
          <w:szCs w:val="22"/>
          <w:lang w:eastAsia="zh-CN"/>
        </w:rPr>
        <w:t>260 ns</w:t>
      </w:r>
      <w:r>
        <w:rPr>
          <w:i/>
          <w:iCs/>
          <w:sz w:val="22"/>
          <w:szCs w:val="22"/>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rPr>
          <w:i/>
          <w:iCs/>
          <w:sz w:val="22"/>
          <w:szCs w:val="22"/>
        </w:rPr>
      </w:pPr>
      <w:r>
        <w:rPr>
          <w:i/>
          <w:iCs/>
          <w:sz w:val="22"/>
          <w:szCs w:val="22"/>
        </w:rPr>
        <w:t>For intra-band non-contiguous carrier aggregation, with or without MIMO, OTA TAE shall not exceed 3 µs.</w:t>
      </w:r>
    </w:p>
    <w:p>
      <w:pPr>
        <w:spacing w:line="240" w:lineRule="auto"/>
        <w:rPr>
          <w:b w:val="0"/>
          <w:bCs w:val="0"/>
          <w:i/>
          <w:iCs/>
          <w:sz w:val="22"/>
          <w:szCs w:val="22"/>
        </w:rPr>
      </w:pPr>
      <w:r>
        <w:rPr>
          <w:b w:val="0"/>
          <w:bCs w:val="0"/>
          <w:i/>
          <w:iCs/>
          <w:sz w:val="22"/>
          <w:szCs w:val="22"/>
        </w:rPr>
        <w:t>For inter-band carrier aggregation, with or without MIMO, OTA TAE shall not exceed 3 µs.</w:t>
      </w:r>
    </w:p>
    <w:p>
      <w:pPr>
        <w:keepNext w:val="0"/>
        <w:keepLines w:val="0"/>
        <w:pageBreakBefore w:val="0"/>
        <w:widowControl/>
        <w:kinsoku/>
        <w:wordWrap/>
        <w:overflowPunct/>
        <w:topLinePunct w:val="0"/>
        <w:autoSpaceDE/>
        <w:autoSpaceDN/>
        <w:bidi w:val="0"/>
        <w:adjustRightInd/>
        <w:snapToGrid/>
        <w:spacing w:after="40" w:line="240" w:lineRule="auto"/>
        <w:textAlignment w:val="auto"/>
        <w:rPr>
          <w:rFonts w:hint="eastAsia" w:eastAsia="宋体"/>
          <w:sz w:val="22"/>
          <w:lang w:val="en-US" w:eastAsia="zh-CN"/>
        </w:rPr>
      </w:pPr>
      <w:r>
        <w:rPr>
          <w:rFonts w:hint="eastAsia" w:eastAsia="宋体"/>
          <w:sz w:val="22"/>
          <w:lang w:val="en-US" w:eastAsia="zh-CN"/>
        </w:rPr>
        <w:t>The Minimum requirement</w:t>
      </w:r>
      <w:r>
        <w:rPr>
          <w:rFonts w:hint="eastAsia" w:eastAsia="宋体"/>
          <w:sz w:val="22"/>
          <w:lang w:val="en-US" w:eastAsia="ja-JP"/>
        </w:rPr>
        <w:t xml:space="preserve"> for BS type 2-O</w:t>
      </w:r>
      <w:r>
        <w:rPr>
          <w:rFonts w:hint="eastAsia" w:eastAsia="宋体"/>
          <w:sz w:val="22"/>
          <w:lang w:val="en-US" w:eastAsia="zh-CN"/>
        </w:rPr>
        <w:t xml:space="preserve"> are:</w:t>
      </w:r>
    </w:p>
    <w:p>
      <w:pPr>
        <w:keepNext w:val="0"/>
        <w:keepLines w:val="0"/>
        <w:pageBreakBefore w:val="0"/>
        <w:widowControl/>
        <w:kinsoku/>
        <w:wordWrap/>
        <w:overflowPunct/>
        <w:topLinePunct w:val="0"/>
        <w:autoSpaceDE/>
        <w:autoSpaceDN/>
        <w:bidi w:val="0"/>
        <w:adjustRightInd/>
        <w:snapToGrid/>
        <w:spacing w:after="0" w:line="240" w:lineRule="auto"/>
        <w:textAlignment w:val="auto"/>
        <w:rPr>
          <w:i/>
          <w:iCs/>
          <w:sz w:val="22"/>
          <w:szCs w:val="22"/>
        </w:rPr>
      </w:pPr>
      <w:r>
        <w:rPr>
          <w:i/>
          <w:iCs/>
          <w:sz w:val="22"/>
          <w:szCs w:val="22"/>
        </w:rPr>
        <w:t xml:space="preserve">For intra-band contiguous carrier aggregation, with or without MIMO, OTA TAE shall not exceed </w:t>
      </w:r>
      <w:r>
        <w:rPr>
          <w:i/>
          <w:iCs/>
          <w:sz w:val="22"/>
          <w:szCs w:val="22"/>
          <w:lang w:eastAsia="zh-CN"/>
        </w:rPr>
        <w:t>130 ns</w:t>
      </w:r>
      <w:r>
        <w:rPr>
          <w:i/>
          <w:iCs/>
          <w:sz w:val="22"/>
          <w:szCs w:val="22"/>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rPr>
          <w:i/>
          <w:iCs/>
          <w:sz w:val="22"/>
          <w:szCs w:val="22"/>
        </w:rPr>
      </w:pPr>
      <w:r>
        <w:rPr>
          <w:i/>
          <w:iCs/>
          <w:sz w:val="22"/>
          <w:szCs w:val="22"/>
        </w:rPr>
        <w:t>For intra-band non-contiguous carrier aggregation, with or without MIMO, OTA TAE shall not exceed 260 ns.</w:t>
      </w:r>
    </w:p>
    <w:p>
      <w:pPr>
        <w:keepNext w:val="0"/>
        <w:keepLines w:val="0"/>
        <w:pageBreakBefore w:val="0"/>
        <w:widowControl/>
        <w:kinsoku/>
        <w:wordWrap/>
        <w:overflowPunct/>
        <w:topLinePunct w:val="0"/>
        <w:autoSpaceDE/>
        <w:autoSpaceDN/>
        <w:bidi w:val="0"/>
        <w:adjustRightInd/>
        <w:snapToGrid/>
        <w:spacing w:after="0" w:line="240" w:lineRule="auto"/>
        <w:textAlignment w:val="auto"/>
        <w:rPr>
          <w:b w:val="0"/>
          <w:bCs w:val="0"/>
          <w:i/>
          <w:iCs/>
          <w:sz w:val="22"/>
          <w:szCs w:val="22"/>
        </w:rPr>
      </w:pPr>
      <w:r>
        <w:rPr>
          <w:b w:val="0"/>
          <w:bCs w:val="0"/>
          <w:i/>
          <w:iCs/>
          <w:sz w:val="22"/>
          <w:szCs w:val="22"/>
        </w:rPr>
        <w:t>For inter-band carrier aggregation, with or without MIMO, OTA TAE shall not exceed 3 µs.</w:t>
      </w:r>
    </w:p>
    <w:p>
      <w:pPr>
        <w:rPr>
          <w:rFonts w:hint="eastAsia" w:eastAsia="宋体"/>
          <w:sz w:val="22"/>
          <w:lang w:val="en-US" w:eastAsia="zh-CN"/>
        </w:rPr>
      </w:pPr>
    </w:p>
    <w:p>
      <w:pPr>
        <w:rPr>
          <w:rFonts w:hint="eastAsia" w:eastAsia="宋体"/>
          <w:sz w:val="22"/>
          <w:lang w:val="en-US" w:eastAsia="zh-CN"/>
        </w:rPr>
      </w:pPr>
      <w:r>
        <w:rPr>
          <w:rFonts w:hint="eastAsia" w:eastAsia="宋体"/>
          <w:sz w:val="22"/>
          <w:lang w:val="en-US" w:eastAsia="zh-CN"/>
        </w:rPr>
        <w:t xml:space="preserve">TAE is defined as </w:t>
      </w:r>
      <w:r>
        <w:rPr>
          <w:rFonts w:hint="eastAsia" w:eastAsia="宋体"/>
          <w:i w:val="0"/>
          <w:iCs w:val="0"/>
          <w:sz w:val="22"/>
          <w:lang w:val="en-US" w:eastAsia="zh-CN"/>
        </w:rPr>
        <w:t>3</w:t>
      </w:r>
      <w:r>
        <w:rPr>
          <w:b w:val="0"/>
          <w:bCs w:val="0"/>
          <w:i w:val="0"/>
          <w:iCs w:val="0"/>
          <w:sz w:val="22"/>
          <w:szCs w:val="22"/>
        </w:rPr>
        <w:t>µs</w:t>
      </w:r>
      <w:r>
        <w:rPr>
          <w:rFonts w:hint="eastAsia" w:eastAsia="宋体"/>
          <w:b w:val="0"/>
          <w:bCs w:val="0"/>
          <w:i w:val="0"/>
          <w:iCs w:val="0"/>
          <w:sz w:val="22"/>
          <w:szCs w:val="22"/>
          <w:lang w:val="en-US" w:eastAsia="zh-CN"/>
        </w:rPr>
        <w:t xml:space="preserve"> for </w:t>
      </w:r>
      <w:r>
        <w:rPr>
          <w:rFonts w:hint="eastAsia" w:eastAsia="宋体"/>
          <w:sz w:val="22"/>
          <w:lang w:val="en-US" w:eastAsia="ja-JP"/>
        </w:rPr>
        <w:t>BS type 1-O</w:t>
      </w:r>
      <w:r>
        <w:rPr>
          <w:rFonts w:hint="eastAsia" w:eastAsia="宋体"/>
          <w:sz w:val="22"/>
          <w:lang w:val="en-US" w:eastAsia="zh-CN"/>
        </w:rPr>
        <w:t xml:space="preserve"> and </w:t>
      </w:r>
      <w:r>
        <w:rPr>
          <w:rFonts w:hint="eastAsia" w:eastAsia="宋体"/>
          <w:sz w:val="22"/>
          <w:lang w:val="en-US" w:eastAsia="ja-JP"/>
        </w:rPr>
        <w:t>BS type 2-O</w:t>
      </w:r>
      <w:r>
        <w:rPr>
          <w:rFonts w:hint="eastAsia" w:eastAsia="宋体"/>
          <w:sz w:val="22"/>
          <w:lang w:val="en-US" w:eastAsia="zh-CN"/>
        </w:rPr>
        <w:t xml:space="preserve"> for inter-band CA case. This value has been applied in the current network deployment configuration. From the design of a robust network perspective, it is suggested to maintain a </w:t>
      </w:r>
      <w:r>
        <w:rPr>
          <w:rFonts w:hint="eastAsia" w:eastAsia="宋体"/>
          <w:i w:val="0"/>
          <w:iCs w:val="0"/>
          <w:sz w:val="22"/>
          <w:lang w:val="en-US" w:eastAsia="zh-CN"/>
        </w:rPr>
        <w:t>3</w:t>
      </w:r>
      <w:r>
        <w:rPr>
          <w:b w:val="0"/>
          <w:bCs w:val="0"/>
          <w:i w:val="0"/>
          <w:iCs w:val="0"/>
          <w:sz w:val="22"/>
          <w:szCs w:val="22"/>
        </w:rPr>
        <w:t>µs</w:t>
      </w:r>
      <w:r>
        <w:rPr>
          <w:rFonts w:hint="eastAsia" w:eastAsia="宋体"/>
          <w:b w:val="0"/>
          <w:bCs w:val="0"/>
          <w:i w:val="0"/>
          <w:iCs w:val="0"/>
          <w:sz w:val="22"/>
          <w:szCs w:val="22"/>
          <w:lang w:val="en-US" w:eastAsia="zh-CN"/>
        </w:rPr>
        <w:t xml:space="preserve"> </w:t>
      </w:r>
      <w:r>
        <w:rPr>
          <w:rFonts w:hint="eastAsia" w:eastAsia="宋体"/>
          <w:sz w:val="22"/>
          <w:lang w:val="en-US" w:eastAsia="zh-CN"/>
        </w:rPr>
        <w:t>TAE to meet both the collocated and non-collocated case requirement.</w:t>
      </w:r>
    </w:p>
    <w:p>
      <w:pPr>
        <w:rPr>
          <w:rFonts w:hint="eastAsia" w:eastAsia="宋体"/>
          <w:b/>
          <w:bCs/>
          <w:sz w:val="22"/>
          <w:lang w:val="en-US" w:eastAsia="zh-CN"/>
        </w:rPr>
      </w:pPr>
      <w:r>
        <w:rPr>
          <w:rFonts w:hint="eastAsia" w:eastAsia="宋体"/>
          <w:b/>
          <w:bCs/>
          <w:sz w:val="22"/>
          <w:lang w:val="en-US" w:eastAsia="zh-CN"/>
        </w:rPr>
        <w:t>Observation 1:</w:t>
      </w:r>
      <w:r>
        <w:rPr>
          <w:rFonts w:hint="eastAsia" w:eastAsia="宋体"/>
          <w:b w:val="0"/>
          <w:bCs w:val="0"/>
          <w:sz w:val="22"/>
          <w:lang w:val="en-US" w:eastAsia="zh-CN"/>
        </w:rPr>
        <w:t xml:space="preserve"> </w:t>
      </w:r>
      <w:r>
        <w:rPr>
          <w:rFonts w:hint="eastAsia" w:eastAsia="宋体"/>
          <w:b/>
          <w:bCs/>
          <w:sz w:val="22"/>
          <w:lang w:val="en-US" w:eastAsia="zh-CN"/>
        </w:rPr>
        <w:t xml:space="preserve">TAE is defined as </w:t>
      </w:r>
      <w:r>
        <w:rPr>
          <w:rFonts w:hint="eastAsia" w:eastAsia="宋体"/>
          <w:b/>
          <w:bCs/>
          <w:i w:val="0"/>
          <w:iCs w:val="0"/>
          <w:sz w:val="22"/>
          <w:lang w:val="en-US" w:eastAsia="zh-CN"/>
        </w:rPr>
        <w:t>3</w:t>
      </w:r>
      <w:r>
        <w:rPr>
          <w:b/>
          <w:bCs/>
          <w:i w:val="0"/>
          <w:iCs w:val="0"/>
          <w:sz w:val="22"/>
          <w:szCs w:val="22"/>
        </w:rPr>
        <w:t>µs</w:t>
      </w:r>
      <w:r>
        <w:rPr>
          <w:rFonts w:hint="eastAsia" w:eastAsia="宋体"/>
          <w:b/>
          <w:bCs/>
          <w:i w:val="0"/>
          <w:iCs w:val="0"/>
          <w:sz w:val="22"/>
          <w:szCs w:val="22"/>
          <w:lang w:val="en-US" w:eastAsia="zh-CN"/>
        </w:rPr>
        <w:t xml:space="preserve"> for </w:t>
      </w:r>
      <w:r>
        <w:rPr>
          <w:rFonts w:hint="eastAsia" w:eastAsia="宋体"/>
          <w:b/>
          <w:bCs/>
          <w:sz w:val="22"/>
          <w:lang w:val="en-US" w:eastAsia="ja-JP"/>
        </w:rPr>
        <w:t>BS type 1-O</w:t>
      </w:r>
      <w:r>
        <w:rPr>
          <w:rFonts w:hint="eastAsia" w:eastAsia="宋体"/>
          <w:b/>
          <w:bCs/>
          <w:sz w:val="22"/>
          <w:lang w:val="en-US" w:eastAsia="zh-CN"/>
        </w:rPr>
        <w:t xml:space="preserve"> and </w:t>
      </w:r>
      <w:r>
        <w:rPr>
          <w:rFonts w:hint="eastAsia" w:eastAsia="宋体"/>
          <w:b/>
          <w:bCs/>
          <w:sz w:val="22"/>
          <w:lang w:val="en-US" w:eastAsia="ja-JP"/>
        </w:rPr>
        <w:t>BS type 2-O</w:t>
      </w:r>
      <w:r>
        <w:rPr>
          <w:rFonts w:hint="eastAsia" w:eastAsia="宋体"/>
          <w:b/>
          <w:bCs/>
          <w:sz w:val="22"/>
          <w:lang w:val="en-US" w:eastAsia="zh-CN"/>
        </w:rPr>
        <w:t xml:space="preserve"> for inter-band CA case.</w:t>
      </w:r>
    </w:p>
    <w:p>
      <w:pPr>
        <w:rPr>
          <w:rFonts w:hint="eastAsia" w:eastAsia="宋体"/>
          <w:sz w:val="22"/>
          <w:lang w:val="en-US" w:eastAsia="zh-CN"/>
        </w:rPr>
      </w:pPr>
    </w:p>
    <w:p>
      <w:pPr>
        <w:rPr>
          <w:rFonts w:hint="eastAsia" w:eastAsia="宋体"/>
          <w:sz w:val="22"/>
          <w:lang w:val="en-US" w:eastAsia="zh-CN"/>
        </w:rPr>
      </w:pPr>
      <w:r>
        <w:rPr>
          <w:rFonts w:hint="eastAsia" w:eastAsia="宋体"/>
          <w:sz w:val="22"/>
          <w:lang w:val="en-US" w:eastAsia="zh-CN"/>
        </w:rPr>
        <w:t xml:space="preserve">TAE performance depends on the timing module design. Considering the expensive cost for cable connected timing schemes in dense urban region, satellite timing has been widely used in the current network. The timing module in RRU is shown in Figure 1 where both GPS timing signal and local oscillator are configured. Local oscillator works as backup reference clock once GPS timing signal is lost. </w:t>
      </w:r>
    </w:p>
    <w:p>
      <w:pPr>
        <w:jc w:val="center"/>
      </w:pPr>
      <w:r>
        <w:drawing>
          <wp:inline distT="0" distB="0" distL="114300" distR="114300">
            <wp:extent cx="5186680" cy="1408430"/>
            <wp:effectExtent l="0" t="0" r="1016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186680" cy="1408430"/>
                    </a:xfrm>
                    <a:prstGeom prst="rect">
                      <a:avLst/>
                    </a:prstGeom>
                    <a:noFill/>
                    <a:ln>
                      <a:noFill/>
                    </a:ln>
                  </pic:spPr>
                </pic:pic>
              </a:graphicData>
            </a:graphic>
          </wp:inline>
        </w:drawing>
      </w:r>
    </w:p>
    <w:p>
      <w:pPr>
        <w:pStyle w:val="6"/>
        <w:jc w:val="center"/>
        <w:rPr>
          <w:rFonts w:hint="eastAsia" w:eastAsia="宋体"/>
          <w:lang w:val="en-US" w:eastAsia="zh-CN"/>
        </w:rPr>
      </w:pPr>
      <w:r>
        <w:rPr>
          <w:i w:val="0"/>
          <w:iCs w:val="0"/>
        </w:rPr>
        <w:t xml:space="preserve">Figure </w:t>
      </w:r>
      <w:r>
        <w:rPr>
          <w:i w:val="0"/>
          <w:iCs w:val="0"/>
        </w:rPr>
        <w:fldChar w:fldCharType="begin"/>
      </w:r>
      <w:r>
        <w:rPr>
          <w:i w:val="0"/>
          <w:iCs w:val="0"/>
        </w:rPr>
        <w:instrText xml:space="preserve"> SEQ Figure \* ARABIC </w:instrText>
      </w:r>
      <w:r>
        <w:rPr>
          <w:i w:val="0"/>
          <w:iCs w:val="0"/>
        </w:rPr>
        <w:fldChar w:fldCharType="separate"/>
      </w:r>
      <w:r>
        <w:rPr>
          <w:i w:val="0"/>
          <w:iCs w:val="0"/>
        </w:rPr>
        <w:t>1</w:t>
      </w:r>
      <w:r>
        <w:rPr>
          <w:i w:val="0"/>
          <w:iCs w:val="0"/>
        </w:rPr>
        <w:fldChar w:fldCharType="end"/>
      </w:r>
      <w:r>
        <w:rPr>
          <w:rFonts w:hint="eastAsia" w:eastAsia="宋体"/>
          <w:lang w:val="en-US" w:eastAsia="zh-CN"/>
        </w:rPr>
        <w:t xml:space="preserve"> </w:t>
      </w:r>
      <w:r>
        <w:rPr>
          <w:rFonts w:hint="eastAsia" w:eastAsia="宋体"/>
          <w:i w:val="0"/>
          <w:iCs w:val="0"/>
          <w:sz w:val="18"/>
          <w:szCs w:val="13"/>
          <w:lang w:val="en-US" w:eastAsia="zh-CN"/>
        </w:rPr>
        <w:t>timing module in RRU</w:t>
      </w:r>
    </w:p>
    <w:p>
      <w:pPr>
        <w:rPr>
          <w:rFonts w:hint="eastAsia" w:eastAsia="宋体"/>
          <w:sz w:val="22"/>
          <w:lang w:val="en-US" w:eastAsia="zh-CN"/>
        </w:rPr>
      </w:pPr>
    </w:p>
    <w:p>
      <w:pPr>
        <w:rPr>
          <w:rFonts w:hint="eastAsia" w:eastAsia="宋体"/>
          <w:sz w:val="22"/>
          <w:lang w:val="en-US" w:eastAsia="zh-CN"/>
        </w:rPr>
      </w:pPr>
      <w:r>
        <w:rPr>
          <w:rFonts w:hint="eastAsia" w:eastAsia="宋体"/>
          <w:sz w:val="22"/>
          <w:lang w:val="en-US" w:eastAsia="zh-CN"/>
        </w:rPr>
        <w:t xml:space="preserve">Considering two cases of timing modules for CCs, see Figure 2. </w:t>
      </w:r>
    </w:p>
    <w:p>
      <w:pPr>
        <w:rPr>
          <w:rFonts w:hint="eastAsia" w:eastAsia="宋体"/>
          <w:b w:val="0"/>
          <w:bCs w:val="0"/>
          <w:sz w:val="22"/>
          <w:lang w:val="en-US" w:eastAsia="zh-CN"/>
        </w:rPr>
      </w:pPr>
      <w:r>
        <w:rPr>
          <w:rFonts w:hint="eastAsia" w:eastAsia="宋体"/>
          <w:b w:val="0"/>
          <w:bCs w:val="0"/>
          <w:sz w:val="22"/>
          <w:lang w:val="en-US" w:eastAsia="zh-CN"/>
        </w:rPr>
        <w:t>Case A: individual CCs share the same baseband processor unit and the same AAU.</w:t>
      </w:r>
    </w:p>
    <w:p>
      <w:pPr>
        <w:rPr>
          <w:rFonts w:hint="eastAsia" w:eastAsia="宋体"/>
          <w:b w:val="0"/>
          <w:bCs w:val="0"/>
          <w:sz w:val="22"/>
          <w:lang w:val="en-US" w:eastAsia="zh-CN"/>
        </w:rPr>
      </w:pPr>
      <w:r>
        <w:rPr>
          <w:rFonts w:hint="eastAsia" w:eastAsia="宋体"/>
          <w:b w:val="0"/>
          <w:bCs w:val="0"/>
          <w:sz w:val="22"/>
          <w:lang w:val="en-US" w:eastAsia="zh-CN"/>
        </w:rPr>
        <w:t>Case B: individual CCs use different AAU with individual Timing module.</w:t>
      </w:r>
    </w:p>
    <w:p>
      <w:pPr>
        <w:jc w:val="center"/>
      </w:pPr>
      <w:r>
        <w:drawing>
          <wp:inline distT="0" distB="0" distL="114300" distR="114300">
            <wp:extent cx="4419600" cy="151320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419600" cy="1513205"/>
                    </a:xfrm>
                    <a:prstGeom prst="rect">
                      <a:avLst/>
                    </a:prstGeom>
                    <a:noFill/>
                    <a:ln>
                      <a:noFill/>
                    </a:ln>
                  </pic:spPr>
                </pic:pic>
              </a:graphicData>
            </a:graphic>
          </wp:inline>
        </w:drawing>
      </w:r>
    </w:p>
    <w:p>
      <w:pPr>
        <w:pStyle w:val="6"/>
        <w:jc w:val="center"/>
        <w:rPr>
          <w:rFonts w:hint="eastAsia" w:eastAsia="宋体"/>
          <w:i w:val="0"/>
          <w:iCs w:val="0"/>
          <w:lang w:val="en-US" w:eastAsia="zh-CN"/>
        </w:rPr>
      </w:pPr>
      <w:r>
        <w:rPr>
          <w:i w:val="0"/>
          <w:iCs w:val="0"/>
        </w:rPr>
        <w:t xml:space="preserve">Figure </w:t>
      </w:r>
      <w:r>
        <w:rPr>
          <w:i w:val="0"/>
          <w:iCs w:val="0"/>
        </w:rPr>
        <w:fldChar w:fldCharType="begin"/>
      </w:r>
      <w:r>
        <w:rPr>
          <w:i w:val="0"/>
          <w:iCs w:val="0"/>
        </w:rPr>
        <w:instrText xml:space="preserve"> SEQ Figure \* ARABIC </w:instrText>
      </w:r>
      <w:r>
        <w:rPr>
          <w:i w:val="0"/>
          <w:iCs w:val="0"/>
        </w:rPr>
        <w:fldChar w:fldCharType="separate"/>
      </w:r>
      <w:r>
        <w:rPr>
          <w:i w:val="0"/>
          <w:iCs w:val="0"/>
        </w:rPr>
        <w:t>2</w:t>
      </w:r>
      <w:r>
        <w:rPr>
          <w:i w:val="0"/>
          <w:iCs w:val="0"/>
        </w:rPr>
        <w:fldChar w:fldCharType="end"/>
      </w:r>
      <w:r>
        <w:rPr>
          <w:rFonts w:hint="eastAsia" w:eastAsia="宋体"/>
          <w:i w:val="0"/>
          <w:iCs w:val="0"/>
          <w:lang w:val="en-US" w:eastAsia="zh-CN"/>
        </w:rPr>
        <w:t xml:space="preserve"> </w:t>
      </w:r>
      <w:r>
        <w:rPr>
          <w:rFonts w:hint="eastAsia" w:eastAsia="宋体"/>
          <w:sz w:val="18"/>
          <w:szCs w:val="18"/>
          <w:lang w:val="en-US" w:eastAsia="zh-CN"/>
        </w:rPr>
        <w:t xml:space="preserve"> </w:t>
      </w:r>
      <w:r>
        <w:rPr>
          <w:rFonts w:hint="eastAsia" w:eastAsia="宋体"/>
          <w:i w:val="0"/>
          <w:iCs w:val="0"/>
          <w:sz w:val="18"/>
          <w:szCs w:val="18"/>
          <w:lang w:val="en-US" w:eastAsia="zh-CN"/>
        </w:rPr>
        <w:t>timing module for CCs</w:t>
      </w:r>
    </w:p>
    <w:p>
      <w:pPr>
        <w:rPr>
          <w:rFonts w:hint="eastAsia" w:eastAsia="宋体"/>
          <w:sz w:val="22"/>
          <w:lang w:val="en-US" w:eastAsia="zh-CN"/>
        </w:rPr>
      </w:pPr>
      <w:r>
        <w:rPr>
          <w:rFonts w:hint="eastAsia" w:eastAsia="宋体"/>
          <w:sz w:val="22"/>
          <w:lang w:val="en-US" w:eastAsia="zh-CN"/>
        </w:rPr>
        <w:t>For case A, timing alignment error between CCs could be limited. However, this case is dependent on the operator</w:t>
      </w:r>
      <w:r>
        <w:rPr>
          <w:rFonts w:hint="default" w:eastAsia="宋体"/>
          <w:sz w:val="22"/>
          <w:lang w:val="en-US" w:eastAsia="zh-CN"/>
        </w:rPr>
        <w:t>’</w:t>
      </w:r>
      <w:r>
        <w:rPr>
          <w:rFonts w:hint="eastAsia" w:eastAsia="宋体"/>
          <w:sz w:val="22"/>
          <w:lang w:val="en-US" w:eastAsia="zh-CN"/>
        </w:rPr>
        <w:t>s deployment. Normally,</w:t>
      </w:r>
      <w:r>
        <w:rPr>
          <w:rFonts w:hint="default" w:eastAsia="宋体"/>
          <w:sz w:val="22"/>
          <w:lang w:val="en-US" w:eastAsia="zh-CN"/>
        </w:rPr>
        <w:t> </w:t>
      </w:r>
      <w:r>
        <w:rPr>
          <w:rFonts w:hint="eastAsia" w:eastAsia="宋体"/>
          <w:sz w:val="22"/>
          <w:lang w:val="en-US" w:eastAsia="zh-CN"/>
        </w:rPr>
        <w:t>operators will plan to deploy NR service in one carrier at the beginning and in another non-contiguous carrier later on. Different bands are deployed at different periods, so it is difficult to guarantee the use of a common timing module for different CCs in different bands. Thus it</w:t>
      </w:r>
      <w:r>
        <w:rPr>
          <w:rFonts w:hint="default" w:eastAsia="宋体"/>
          <w:sz w:val="22"/>
          <w:lang w:val="en-US" w:eastAsia="zh-CN"/>
        </w:rPr>
        <w:t>’</w:t>
      </w:r>
      <w:r>
        <w:rPr>
          <w:rFonts w:hint="eastAsia" w:eastAsia="宋体"/>
          <w:sz w:val="22"/>
          <w:lang w:val="en-US" w:eastAsia="zh-CN"/>
        </w:rPr>
        <w:t xml:space="preserve">s impossible that different CCs share the same baseband processor unit and the same AAU. </w:t>
      </w:r>
    </w:p>
    <w:p>
      <w:pPr>
        <w:rPr>
          <w:rFonts w:hint="eastAsia" w:eastAsia="宋体"/>
          <w:sz w:val="22"/>
          <w:lang w:val="en-US" w:eastAsia="zh-CN"/>
        </w:rPr>
      </w:pPr>
      <w:r>
        <w:rPr>
          <w:rFonts w:hint="eastAsia" w:eastAsia="宋体"/>
          <w:b/>
          <w:bCs/>
          <w:sz w:val="22"/>
          <w:lang w:val="en-US" w:eastAsia="zh-CN"/>
        </w:rPr>
        <w:t>Observation 2 : For case A, the TAE performance between CCs could be limited. However, this case is dependent on the operator</w:t>
      </w:r>
      <w:r>
        <w:rPr>
          <w:rFonts w:hint="default" w:eastAsia="宋体"/>
          <w:b/>
          <w:bCs/>
          <w:sz w:val="22"/>
          <w:lang w:val="en-US" w:eastAsia="zh-CN"/>
        </w:rPr>
        <w:t>’</w:t>
      </w:r>
      <w:r>
        <w:rPr>
          <w:rFonts w:hint="eastAsia" w:eastAsia="宋体"/>
          <w:b/>
          <w:bCs/>
          <w:sz w:val="22"/>
          <w:lang w:val="en-US" w:eastAsia="zh-CN"/>
        </w:rPr>
        <w:t>s deployment. Different bands are deployed at different periods, so it is difficult to guarantee the use of a common timing module for different CCs in different bands.</w:t>
      </w:r>
    </w:p>
    <w:p>
      <w:pPr>
        <w:rPr>
          <w:rFonts w:hint="default" w:eastAsia="宋体"/>
          <w:sz w:val="22"/>
          <w:lang w:val="en-US" w:eastAsia="zh-CN"/>
        </w:rPr>
      </w:pPr>
      <w:r>
        <w:rPr>
          <w:rFonts w:hint="eastAsia" w:eastAsia="宋体"/>
          <w:sz w:val="22"/>
          <w:lang w:val="en-US" w:eastAsia="zh-CN"/>
        </w:rPr>
        <w:t xml:space="preserve">Case B is a more common deployment case for different CCs in different bands. If GPS signal for CC#0 is lost, since local oscillator performance is much worse than GPS signal, timing error between local oscillator for CC#0 and GPS signal for CC#1 could be around 1.5µs generally. So the worst scenario where GPS signals in both AAU are lost, the TAE performance between different CCs should be around 3µs. </w:t>
      </w:r>
    </w:p>
    <w:p>
      <w:pPr>
        <w:rPr>
          <w:rFonts w:hint="eastAsia" w:eastAsia="宋体"/>
          <w:b/>
          <w:bCs/>
          <w:sz w:val="22"/>
          <w:lang w:val="en-US" w:eastAsia="zh-CN"/>
        </w:rPr>
      </w:pPr>
      <w:r>
        <w:rPr>
          <w:rFonts w:hint="eastAsia" w:eastAsia="宋体"/>
          <w:b/>
          <w:bCs/>
          <w:sz w:val="22"/>
          <w:lang w:val="en-US" w:eastAsia="zh-CN"/>
        </w:rPr>
        <w:t xml:space="preserve">Observation 3: For case B, if GPS signal for both NR AAU is lost, the TAE performance between individual CCs is around 3µs. </w:t>
      </w:r>
    </w:p>
    <w:p>
      <w:pPr>
        <w:rPr>
          <w:rFonts w:hint="default" w:eastAsia="宋体"/>
          <w:b w:val="0"/>
          <w:bCs w:val="0"/>
          <w:sz w:val="22"/>
          <w:lang w:val="en-US" w:eastAsia="zh-CN"/>
        </w:rPr>
      </w:pPr>
      <w:r>
        <w:rPr>
          <w:rFonts w:hint="eastAsia" w:eastAsia="宋体"/>
          <w:b w:val="0"/>
          <w:bCs w:val="0"/>
          <w:sz w:val="22"/>
          <w:lang w:val="en-US" w:eastAsia="zh-CN"/>
        </w:rPr>
        <w:t>TAE for inter-band CCs is at around 3µs due to the timing modules applied for different CCs are independent</w:t>
      </w:r>
      <w:r>
        <w:rPr>
          <w:rFonts w:hint="default" w:eastAsia="宋体"/>
          <w:b w:val="0"/>
          <w:bCs w:val="0"/>
          <w:sz w:val="22"/>
          <w:lang w:val="en-US" w:eastAsia="zh-CN"/>
        </w:rPr>
        <w:t> with each oth</w:t>
      </w:r>
      <w:r>
        <w:rPr>
          <w:rFonts w:hint="eastAsia" w:eastAsia="宋体"/>
          <w:b w:val="0"/>
          <w:bCs w:val="0"/>
          <w:sz w:val="22"/>
          <w:lang w:val="en-US" w:eastAsia="zh-CN"/>
        </w:rPr>
        <w:t>er. Thus the MRTD for inter-band CA should be at least 3µs.</w:t>
      </w:r>
    </w:p>
    <w:p>
      <w:pPr>
        <w:rPr>
          <w:rFonts w:hint="eastAsia" w:eastAsia="宋体"/>
          <w:b/>
          <w:bCs/>
          <w:sz w:val="22"/>
          <w:lang w:val="en-US" w:eastAsia="zh-CN"/>
        </w:rPr>
      </w:pPr>
      <w:r>
        <w:rPr>
          <w:rFonts w:hint="eastAsia" w:eastAsia="宋体"/>
          <w:b/>
          <w:bCs/>
          <w:sz w:val="22"/>
          <w:lang w:val="en-US" w:eastAsia="zh-CN"/>
        </w:rPr>
        <w:t>Proposal 1: Take option 4, i.e.,define in Rel 17 MRTD for inter-band FR2 CA for CBM as 3 µs.</w:t>
      </w:r>
    </w:p>
    <w:p>
      <w:pPr>
        <w:pStyle w:val="29"/>
        <w:numPr>
          <w:ilvl w:val="0"/>
          <w:numId w:val="6"/>
        </w:numPr>
        <w:ind w:left="1134" w:leftChars="0" w:hanging="1134" w:firstLineChars="0"/>
        <w:jc w:val="both"/>
      </w:pPr>
      <w:r>
        <w:t>Conclusion</w:t>
      </w:r>
    </w:p>
    <w:p>
      <w:pPr>
        <w:rPr>
          <w:rFonts w:hint="eastAsia" w:eastAsia="宋体"/>
          <w:b/>
          <w:bCs/>
          <w:sz w:val="22"/>
          <w:lang w:val="en-US" w:eastAsia="zh-CN"/>
        </w:rPr>
      </w:pPr>
      <w:r>
        <w:rPr>
          <w:rFonts w:hint="eastAsia" w:eastAsia="宋体"/>
          <w:b/>
          <w:bCs/>
          <w:sz w:val="22"/>
          <w:lang w:val="en-US" w:eastAsia="zh-CN"/>
        </w:rPr>
        <w:t>Observation 1:</w:t>
      </w:r>
      <w:r>
        <w:rPr>
          <w:rFonts w:hint="eastAsia" w:eastAsia="宋体"/>
          <w:b w:val="0"/>
          <w:bCs w:val="0"/>
          <w:sz w:val="22"/>
          <w:lang w:val="en-US" w:eastAsia="zh-CN"/>
        </w:rPr>
        <w:t xml:space="preserve"> </w:t>
      </w:r>
      <w:r>
        <w:rPr>
          <w:rFonts w:hint="eastAsia" w:eastAsia="宋体"/>
          <w:b/>
          <w:bCs/>
          <w:sz w:val="22"/>
          <w:lang w:val="en-US" w:eastAsia="zh-CN"/>
        </w:rPr>
        <w:t xml:space="preserve">TAE is defined as </w:t>
      </w:r>
      <w:r>
        <w:rPr>
          <w:rFonts w:hint="eastAsia" w:eastAsia="宋体"/>
          <w:b/>
          <w:bCs/>
          <w:i w:val="0"/>
          <w:iCs w:val="0"/>
          <w:sz w:val="22"/>
          <w:lang w:val="en-US" w:eastAsia="zh-CN"/>
        </w:rPr>
        <w:t>3</w:t>
      </w:r>
      <w:r>
        <w:rPr>
          <w:b/>
          <w:bCs/>
          <w:i w:val="0"/>
          <w:iCs w:val="0"/>
          <w:sz w:val="22"/>
          <w:szCs w:val="22"/>
        </w:rPr>
        <w:t>µs</w:t>
      </w:r>
      <w:r>
        <w:rPr>
          <w:rFonts w:hint="eastAsia" w:eastAsia="宋体"/>
          <w:b/>
          <w:bCs/>
          <w:i w:val="0"/>
          <w:iCs w:val="0"/>
          <w:sz w:val="22"/>
          <w:szCs w:val="22"/>
          <w:lang w:val="en-US" w:eastAsia="zh-CN"/>
        </w:rPr>
        <w:t xml:space="preserve"> for </w:t>
      </w:r>
      <w:r>
        <w:rPr>
          <w:rFonts w:hint="eastAsia" w:eastAsia="宋体"/>
          <w:b/>
          <w:bCs/>
          <w:sz w:val="22"/>
          <w:lang w:val="en-US" w:eastAsia="ja-JP"/>
        </w:rPr>
        <w:t>BS type 1-O</w:t>
      </w:r>
      <w:r>
        <w:rPr>
          <w:rFonts w:hint="eastAsia" w:eastAsia="宋体"/>
          <w:b/>
          <w:bCs/>
          <w:sz w:val="22"/>
          <w:lang w:val="en-US" w:eastAsia="zh-CN"/>
        </w:rPr>
        <w:t xml:space="preserve"> and </w:t>
      </w:r>
      <w:r>
        <w:rPr>
          <w:rFonts w:hint="eastAsia" w:eastAsia="宋体"/>
          <w:b/>
          <w:bCs/>
          <w:sz w:val="22"/>
          <w:lang w:val="en-US" w:eastAsia="ja-JP"/>
        </w:rPr>
        <w:t>BS type 2-O</w:t>
      </w:r>
      <w:r>
        <w:rPr>
          <w:rFonts w:hint="eastAsia" w:eastAsia="宋体"/>
          <w:b/>
          <w:bCs/>
          <w:sz w:val="22"/>
          <w:lang w:val="en-US" w:eastAsia="zh-CN"/>
        </w:rPr>
        <w:t xml:space="preserve"> for inter-band CA case.</w:t>
      </w:r>
    </w:p>
    <w:p>
      <w:pPr>
        <w:rPr>
          <w:rFonts w:hint="eastAsia" w:eastAsia="宋体"/>
          <w:sz w:val="22"/>
          <w:lang w:val="en-US" w:eastAsia="zh-CN"/>
        </w:rPr>
      </w:pPr>
      <w:r>
        <w:rPr>
          <w:rFonts w:hint="eastAsia" w:eastAsia="宋体"/>
          <w:b/>
          <w:bCs/>
          <w:sz w:val="22"/>
          <w:lang w:val="en-US" w:eastAsia="zh-CN"/>
        </w:rPr>
        <w:t>Observation 2 : For case A, the TAE performance between CCs could be limited. However, this case is dependent on the operator</w:t>
      </w:r>
      <w:r>
        <w:rPr>
          <w:rFonts w:hint="default" w:eastAsia="宋体"/>
          <w:b/>
          <w:bCs/>
          <w:sz w:val="22"/>
          <w:lang w:val="en-US" w:eastAsia="zh-CN"/>
        </w:rPr>
        <w:t>’</w:t>
      </w:r>
      <w:r>
        <w:rPr>
          <w:rFonts w:hint="eastAsia" w:eastAsia="宋体"/>
          <w:b/>
          <w:bCs/>
          <w:sz w:val="22"/>
          <w:lang w:val="en-US" w:eastAsia="zh-CN"/>
        </w:rPr>
        <w:t>s deployment. Different bands are deployed at different periods, so it is difficult to guarantee the use of a common timing module for different CCs in different bands.</w:t>
      </w:r>
    </w:p>
    <w:p>
      <w:pPr>
        <w:rPr>
          <w:rFonts w:hint="eastAsia" w:eastAsia="宋体"/>
          <w:b/>
          <w:bCs/>
          <w:sz w:val="22"/>
          <w:lang w:val="en-US" w:eastAsia="zh-CN"/>
        </w:rPr>
      </w:pPr>
      <w:r>
        <w:rPr>
          <w:rFonts w:hint="eastAsia" w:eastAsia="宋体"/>
          <w:b/>
          <w:bCs/>
          <w:sz w:val="22"/>
          <w:lang w:val="en-US" w:eastAsia="zh-CN"/>
        </w:rPr>
        <w:t xml:space="preserve">Observation 3: For case B, if GPS signal for both NR AAU is lost, the TAE performance between individual CCs is around 3µs. </w:t>
      </w:r>
    </w:p>
    <w:p>
      <w:pPr>
        <w:rPr>
          <w:rFonts w:hint="eastAsia" w:eastAsia="宋体"/>
          <w:b/>
          <w:bCs/>
          <w:sz w:val="22"/>
          <w:lang w:val="en-US" w:eastAsia="zh-CN"/>
        </w:rPr>
      </w:pPr>
      <w:r>
        <w:rPr>
          <w:rFonts w:hint="eastAsia" w:eastAsia="宋体"/>
          <w:b/>
          <w:bCs/>
          <w:sz w:val="22"/>
          <w:lang w:val="en-US" w:eastAsia="zh-CN"/>
        </w:rPr>
        <w:t>Proposal 1: Take option 4, i.e.,define in Rel 17 MRTD for inter-band FR2 CA for CBM as 3 µs.</w:t>
      </w:r>
    </w:p>
    <w:p>
      <w:pPr>
        <w:rPr>
          <w:rFonts w:hint="eastAsia" w:eastAsia="宋体"/>
          <w:b/>
          <w:bCs/>
          <w:sz w:val="22"/>
          <w:lang w:val="en-US" w:eastAsia="zh-CN"/>
        </w:rPr>
      </w:pPr>
    </w:p>
    <w:p>
      <w:pPr>
        <w:pStyle w:val="29"/>
        <w:jc w:val="both"/>
      </w:pPr>
      <w:r>
        <w:t>References</w:t>
      </w:r>
    </w:p>
    <w:p>
      <w:pPr>
        <w:numPr>
          <w:ilvl w:val="0"/>
          <w:numId w:val="7"/>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R4-2105785</w:t>
      </w:r>
      <w:r>
        <w:rPr>
          <w:rFonts w:hint="eastAsia" w:eastAsia="宋体"/>
          <w:lang w:val="en-US" w:eastAsia="zh-CN"/>
        </w:rPr>
        <w:t xml:space="preserve">, WF on RRM requirements for FR2 Inter-band DL CA and UL CA, </w:t>
      </w:r>
      <w:bookmarkStart w:id="11" w:name="_GoBack"/>
      <w:bookmarkEnd w:id="11"/>
      <w:r>
        <w:rPr>
          <w:rFonts w:hint="eastAsia" w:eastAsia="宋体"/>
          <w:lang w:val="en-US" w:eastAsia="zh-CN"/>
        </w:rPr>
        <w:t>Nokia, Nokia Shanghai Bell</w:t>
      </w:r>
    </w:p>
    <w:p>
      <w:pPr>
        <w:numPr>
          <w:ilvl w:val="0"/>
          <w:numId w:val="7"/>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R4-1903844</w:t>
      </w:r>
      <w:r>
        <w:rPr>
          <w:rFonts w:hint="eastAsia" w:eastAsia="宋体"/>
          <w:lang w:val="en-US" w:eastAsia="zh-CN"/>
        </w:rPr>
        <w:t xml:space="preserve">, </w:t>
      </w:r>
      <w:r>
        <w:rPr>
          <w:rFonts w:hint="eastAsia" w:eastAsia="宋体"/>
          <w:lang w:eastAsia="zh-CN"/>
        </w:rPr>
        <w:t>Further discussion on BS TAE requirement</w:t>
      </w:r>
      <w:r>
        <w:rPr>
          <w:rFonts w:hint="eastAsia" w:eastAsia="宋体"/>
          <w:lang w:val="en-US" w:eastAsia="zh-CN"/>
        </w:rPr>
        <w:t xml:space="preserve">, ZTE </w:t>
      </w:r>
      <w:r>
        <w:rPr>
          <w:rFonts w:hint="eastAsia" w:eastAsia="宋体"/>
          <w:lang w:eastAsia="zh-CN"/>
        </w:rPr>
        <w:t>Corporation</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3468EF"/>
    <w:rsid w:val="014D65AB"/>
    <w:rsid w:val="016E368C"/>
    <w:rsid w:val="017B5E4B"/>
    <w:rsid w:val="018D054D"/>
    <w:rsid w:val="01D71285"/>
    <w:rsid w:val="01FF08B3"/>
    <w:rsid w:val="028676F2"/>
    <w:rsid w:val="02B274E2"/>
    <w:rsid w:val="02BD7990"/>
    <w:rsid w:val="02C25D33"/>
    <w:rsid w:val="030809EC"/>
    <w:rsid w:val="039A1BDA"/>
    <w:rsid w:val="03AE4991"/>
    <w:rsid w:val="03C6506D"/>
    <w:rsid w:val="03F37217"/>
    <w:rsid w:val="041B5A4C"/>
    <w:rsid w:val="041F4676"/>
    <w:rsid w:val="047B40B2"/>
    <w:rsid w:val="04C77D0A"/>
    <w:rsid w:val="04D5204C"/>
    <w:rsid w:val="051F0641"/>
    <w:rsid w:val="059B61E4"/>
    <w:rsid w:val="05A86143"/>
    <w:rsid w:val="05D42FA6"/>
    <w:rsid w:val="06105DAC"/>
    <w:rsid w:val="066957D5"/>
    <w:rsid w:val="068A29F7"/>
    <w:rsid w:val="069766CC"/>
    <w:rsid w:val="07502CA2"/>
    <w:rsid w:val="078B76F8"/>
    <w:rsid w:val="079D410C"/>
    <w:rsid w:val="07B91916"/>
    <w:rsid w:val="07C928A9"/>
    <w:rsid w:val="07D3429D"/>
    <w:rsid w:val="07D735D1"/>
    <w:rsid w:val="07DE733C"/>
    <w:rsid w:val="080A5373"/>
    <w:rsid w:val="085564A9"/>
    <w:rsid w:val="08641205"/>
    <w:rsid w:val="0868025F"/>
    <w:rsid w:val="0873226E"/>
    <w:rsid w:val="08935729"/>
    <w:rsid w:val="08AF3F5E"/>
    <w:rsid w:val="08C654D4"/>
    <w:rsid w:val="08CC5D10"/>
    <w:rsid w:val="092C45E6"/>
    <w:rsid w:val="099F556C"/>
    <w:rsid w:val="09AC0546"/>
    <w:rsid w:val="09C640C3"/>
    <w:rsid w:val="0A2F63A3"/>
    <w:rsid w:val="0A5763D4"/>
    <w:rsid w:val="0A7BF868"/>
    <w:rsid w:val="0A9573F8"/>
    <w:rsid w:val="0B206A21"/>
    <w:rsid w:val="0B7322DC"/>
    <w:rsid w:val="0BB77882"/>
    <w:rsid w:val="0BBC5E99"/>
    <w:rsid w:val="0C102F73"/>
    <w:rsid w:val="0C2A1653"/>
    <w:rsid w:val="0C3145B0"/>
    <w:rsid w:val="0C3C5307"/>
    <w:rsid w:val="0C56263C"/>
    <w:rsid w:val="0C5E2B8A"/>
    <w:rsid w:val="0D102274"/>
    <w:rsid w:val="0DA958CA"/>
    <w:rsid w:val="0DF104D3"/>
    <w:rsid w:val="0E1C586B"/>
    <w:rsid w:val="0E1E6619"/>
    <w:rsid w:val="0E8A024B"/>
    <w:rsid w:val="0ED138E6"/>
    <w:rsid w:val="0F130B06"/>
    <w:rsid w:val="0F3856C4"/>
    <w:rsid w:val="0F4C5F28"/>
    <w:rsid w:val="0F5E58A7"/>
    <w:rsid w:val="0F67780F"/>
    <w:rsid w:val="0F8F3C2A"/>
    <w:rsid w:val="0F9F5663"/>
    <w:rsid w:val="0FB648CB"/>
    <w:rsid w:val="0FD0731A"/>
    <w:rsid w:val="0FF1533A"/>
    <w:rsid w:val="0FFE0AFA"/>
    <w:rsid w:val="1000683B"/>
    <w:rsid w:val="10732202"/>
    <w:rsid w:val="10860ED5"/>
    <w:rsid w:val="10AA3C13"/>
    <w:rsid w:val="10CA41CF"/>
    <w:rsid w:val="10CD0B75"/>
    <w:rsid w:val="110C4D24"/>
    <w:rsid w:val="11283655"/>
    <w:rsid w:val="113B0066"/>
    <w:rsid w:val="114A4434"/>
    <w:rsid w:val="11F71F3A"/>
    <w:rsid w:val="1207649C"/>
    <w:rsid w:val="121A2A50"/>
    <w:rsid w:val="122017FC"/>
    <w:rsid w:val="12432F43"/>
    <w:rsid w:val="124B5A34"/>
    <w:rsid w:val="12753179"/>
    <w:rsid w:val="128409CA"/>
    <w:rsid w:val="12843280"/>
    <w:rsid w:val="12BB3A94"/>
    <w:rsid w:val="12EF585C"/>
    <w:rsid w:val="12FB3877"/>
    <w:rsid w:val="13262572"/>
    <w:rsid w:val="13516C3B"/>
    <w:rsid w:val="135A35EB"/>
    <w:rsid w:val="136D11EC"/>
    <w:rsid w:val="137D50D6"/>
    <w:rsid w:val="138845FC"/>
    <w:rsid w:val="139B3B65"/>
    <w:rsid w:val="13A62830"/>
    <w:rsid w:val="13D36053"/>
    <w:rsid w:val="13F75352"/>
    <w:rsid w:val="13FA5349"/>
    <w:rsid w:val="141E7377"/>
    <w:rsid w:val="1480544B"/>
    <w:rsid w:val="148A292B"/>
    <w:rsid w:val="14A25B1A"/>
    <w:rsid w:val="14B36B91"/>
    <w:rsid w:val="14BF6AA8"/>
    <w:rsid w:val="14D9405F"/>
    <w:rsid w:val="14DE3D1B"/>
    <w:rsid w:val="15DD3861"/>
    <w:rsid w:val="15FF5A47"/>
    <w:rsid w:val="16222725"/>
    <w:rsid w:val="162900B5"/>
    <w:rsid w:val="1634239A"/>
    <w:rsid w:val="16394032"/>
    <w:rsid w:val="164F667E"/>
    <w:rsid w:val="165D0583"/>
    <w:rsid w:val="16654289"/>
    <w:rsid w:val="16883865"/>
    <w:rsid w:val="16A53AC3"/>
    <w:rsid w:val="16AE4BFB"/>
    <w:rsid w:val="16BA6C12"/>
    <w:rsid w:val="16CB37AF"/>
    <w:rsid w:val="16DB79C9"/>
    <w:rsid w:val="16F55CC6"/>
    <w:rsid w:val="17141F2D"/>
    <w:rsid w:val="17147EFE"/>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A7F0493"/>
    <w:rsid w:val="1B3329B5"/>
    <w:rsid w:val="1B595D85"/>
    <w:rsid w:val="1B7F155B"/>
    <w:rsid w:val="1BAE2A00"/>
    <w:rsid w:val="1C1B0DC7"/>
    <w:rsid w:val="1C5E2F54"/>
    <w:rsid w:val="1C7E2755"/>
    <w:rsid w:val="1C8A41D7"/>
    <w:rsid w:val="1C920085"/>
    <w:rsid w:val="1CA0799D"/>
    <w:rsid w:val="1CAE294B"/>
    <w:rsid w:val="1CDA242C"/>
    <w:rsid w:val="1CFB2AC1"/>
    <w:rsid w:val="1D1F1294"/>
    <w:rsid w:val="1D425C11"/>
    <w:rsid w:val="1D85535E"/>
    <w:rsid w:val="1DB227A6"/>
    <w:rsid w:val="1DB41841"/>
    <w:rsid w:val="1DCF39D2"/>
    <w:rsid w:val="1DE45821"/>
    <w:rsid w:val="1DF64986"/>
    <w:rsid w:val="1E5E1170"/>
    <w:rsid w:val="1E8806BC"/>
    <w:rsid w:val="1EA137E3"/>
    <w:rsid w:val="1EC97F44"/>
    <w:rsid w:val="1F0936F5"/>
    <w:rsid w:val="1F17474D"/>
    <w:rsid w:val="1F1B7515"/>
    <w:rsid w:val="1F2B10F9"/>
    <w:rsid w:val="1F711839"/>
    <w:rsid w:val="1F8A172B"/>
    <w:rsid w:val="1FA564C4"/>
    <w:rsid w:val="1FF2785D"/>
    <w:rsid w:val="200D067C"/>
    <w:rsid w:val="20811B82"/>
    <w:rsid w:val="20941E02"/>
    <w:rsid w:val="20A662B2"/>
    <w:rsid w:val="21091739"/>
    <w:rsid w:val="211451D0"/>
    <w:rsid w:val="211B0B99"/>
    <w:rsid w:val="21402B64"/>
    <w:rsid w:val="2151075A"/>
    <w:rsid w:val="2187422D"/>
    <w:rsid w:val="219E74A3"/>
    <w:rsid w:val="22271C95"/>
    <w:rsid w:val="22450C21"/>
    <w:rsid w:val="22571B82"/>
    <w:rsid w:val="22843CEF"/>
    <w:rsid w:val="22920D1D"/>
    <w:rsid w:val="22AA3A81"/>
    <w:rsid w:val="22C0245E"/>
    <w:rsid w:val="22C845ED"/>
    <w:rsid w:val="22DF0545"/>
    <w:rsid w:val="232F5D48"/>
    <w:rsid w:val="23514077"/>
    <w:rsid w:val="23855295"/>
    <w:rsid w:val="23B20773"/>
    <w:rsid w:val="23CF6D67"/>
    <w:rsid w:val="23E92C0B"/>
    <w:rsid w:val="24081FAC"/>
    <w:rsid w:val="241F6375"/>
    <w:rsid w:val="248F188B"/>
    <w:rsid w:val="24BD0518"/>
    <w:rsid w:val="24E91488"/>
    <w:rsid w:val="25077EC5"/>
    <w:rsid w:val="256A021C"/>
    <w:rsid w:val="25962669"/>
    <w:rsid w:val="25C20278"/>
    <w:rsid w:val="25C545AD"/>
    <w:rsid w:val="262D62D9"/>
    <w:rsid w:val="26681CAB"/>
    <w:rsid w:val="267E5FCE"/>
    <w:rsid w:val="26800AB6"/>
    <w:rsid w:val="26F618C3"/>
    <w:rsid w:val="27016D1C"/>
    <w:rsid w:val="27465B4B"/>
    <w:rsid w:val="27572E0B"/>
    <w:rsid w:val="2762235C"/>
    <w:rsid w:val="276537E8"/>
    <w:rsid w:val="27A9713B"/>
    <w:rsid w:val="27BE3159"/>
    <w:rsid w:val="28062AB3"/>
    <w:rsid w:val="280C272A"/>
    <w:rsid w:val="281B6C69"/>
    <w:rsid w:val="284E33F7"/>
    <w:rsid w:val="28527042"/>
    <w:rsid w:val="287A3770"/>
    <w:rsid w:val="28C759BF"/>
    <w:rsid w:val="290A138C"/>
    <w:rsid w:val="291A4010"/>
    <w:rsid w:val="293606FA"/>
    <w:rsid w:val="29517179"/>
    <w:rsid w:val="29582436"/>
    <w:rsid w:val="29E7086A"/>
    <w:rsid w:val="2A0E25C0"/>
    <w:rsid w:val="2A1219AD"/>
    <w:rsid w:val="2A394321"/>
    <w:rsid w:val="2A465BB6"/>
    <w:rsid w:val="2A7F1F2B"/>
    <w:rsid w:val="2AAF72F6"/>
    <w:rsid w:val="2AE26D3F"/>
    <w:rsid w:val="2AF125AB"/>
    <w:rsid w:val="2AF8774D"/>
    <w:rsid w:val="2B0F6E62"/>
    <w:rsid w:val="2B1B7C39"/>
    <w:rsid w:val="2B3F4136"/>
    <w:rsid w:val="2B5F7B9D"/>
    <w:rsid w:val="2B6F3DB4"/>
    <w:rsid w:val="2B7579C5"/>
    <w:rsid w:val="2BB04900"/>
    <w:rsid w:val="2BB1476B"/>
    <w:rsid w:val="2C1B2490"/>
    <w:rsid w:val="2C3757DB"/>
    <w:rsid w:val="2C3A3275"/>
    <w:rsid w:val="2C495744"/>
    <w:rsid w:val="2CA40E82"/>
    <w:rsid w:val="2CEE6B8D"/>
    <w:rsid w:val="2D233DAE"/>
    <w:rsid w:val="2D8E403A"/>
    <w:rsid w:val="2DC51DB6"/>
    <w:rsid w:val="2DF9626C"/>
    <w:rsid w:val="2DFD7A78"/>
    <w:rsid w:val="2E145F76"/>
    <w:rsid w:val="2E3E3E00"/>
    <w:rsid w:val="2E8501BE"/>
    <w:rsid w:val="2EA86D09"/>
    <w:rsid w:val="2ECE747D"/>
    <w:rsid w:val="2ED75EB5"/>
    <w:rsid w:val="2F32226B"/>
    <w:rsid w:val="2F376D10"/>
    <w:rsid w:val="2FA231C5"/>
    <w:rsid w:val="2FFF7298"/>
    <w:rsid w:val="30266CFB"/>
    <w:rsid w:val="304E2B23"/>
    <w:rsid w:val="30775A8C"/>
    <w:rsid w:val="308B65F2"/>
    <w:rsid w:val="30A9337F"/>
    <w:rsid w:val="30E80BB0"/>
    <w:rsid w:val="30E90CA4"/>
    <w:rsid w:val="30F5782F"/>
    <w:rsid w:val="3117229F"/>
    <w:rsid w:val="31395268"/>
    <w:rsid w:val="316D08AD"/>
    <w:rsid w:val="3197247E"/>
    <w:rsid w:val="31A50177"/>
    <w:rsid w:val="31DD775A"/>
    <w:rsid w:val="31ED10C9"/>
    <w:rsid w:val="320F0A18"/>
    <w:rsid w:val="32351CB2"/>
    <w:rsid w:val="324554E5"/>
    <w:rsid w:val="325D2B5A"/>
    <w:rsid w:val="327661FC"/>
    <w:rsid w:val="32B33B5A"/>
    <w:rsid w:val="32E16FE7"/>
    <w:rsid w:val="32E47AA3"/>
    <w:rsid w:val="32EE27B2"/>
    <w:rsid w:val="33372789"/>
    <w:rsid w:val="33373161"/>
    <w:rsid w:val="333876C2"/>
    <w:rsid w:val="33484A1E"/>
    <w:rsid w:val="335F47E9"/>
    <w:rsid w:val="33FB17D8"/>
    <w:rsid w:val="34693A6E"/>
    <w:rsid w:val="346E4104"/>
    <w:rsid w:val="3476470C"/>
    <w:rsid w:val="34D83C16"/>
    <w:rsid w:val="34F42A3D"/>
    <w:rsid w:val="3509315E"/>
    <w:rsid w:val="351A4CC6"/>
    <w:rsid w:val="371440A5"/>
    <w:rsid w:val="37705F34"/>
    <w:rsid w:val="377700B0"/>
    <w:rsid w:val="37857872"/>
    <w:rsid w:val="379C48BE"/>
    <w:rsid w:val="37AF7036"/>
    <w:rsid w:val="37D82686"/>
    <w:rsid w:val="380927B5"/>
    <w:rsid w:val="381F0B0E"/>
    <w:rsid w:val="382139EC"/>
    <w:rsid w:val="382C697D"/>
    <w:rsid w:val="3876150B"/>
    <w:rsid w:val="38D03C78"/>
    <w:rsid w:val="38EF03A6"/>
    <w:rsid w:val="38F0125F"/>
    <w:rsid w:val="3900577A"/>
    <w:rsid w:val="392739EA"/>
    <w:rsid w:val="392D38AD"/>
    <w:rsid w:val="3946679B"/>
    <w:rsid w:val="394D1646"/>
    <w:rsid w:val="399A43EA"/>
    <w:rsid w:val="3A0F1960"/>
    <w:rsid w:val="3A166029"/>
    <w:rsid w:val="3A431070"/>
    <w:rsid w:val="3A6B6F88"/>
    <w:rsid w:val="3A977F34"/>
    <w:rsid w:val="3AC125B3"/>
    <w:rsid w:val="3AF216E5"/>
    <w:rsid w:val="3B0B15C3"/>
    <w:rsid w:val="3B30671A"/>
    <w:rsid w:val="3B5555F7"/>
    <w:rsid w:val="3B5662AC"/>
    <w:rsid w:val="3B981241"/>
    <w:rsid w:val="3BA62A90"/>
    <w:rsid w:val="3BBB2E68"/>
    <w:rsid w:val="3C8823DF"/>
    <w:rsid w:val="3C9D0254"/>
    <w:rsid w:val="3C9F5B7F"/>
    <w:rsid w:val="3CBC001C"/>
    <w:rsid w:val="3CC5729E"/>
    <w:rsid w:val="3CCE203C"/>
    <w:rsid w:val="3D087EC6"/>
    <w:rsid w:val="3D0C1655"/>
    <w:rsid w:val="3D4E48C8"/>
    <w:rsid w:val="3D50421B"/>
    <w:rsid w:val="3D77737D"/>
    <w:rsid w:val="3D807C08"/>
    <w:rsid w:val="3DBF5349"/>
    <w:rsid w:val="3DC04E13"/>
    <w:rsid w:val="3DCC0A6F"/>
    <w:rsid w:val="3DD244E7"/>
    <w:rsid w:val="3DF03916"/>
    <w:rsid w:val="3E132617"/>
    <w:rsid w:val="3E1747FA"/>
    <w:rsid w:val="3E2E7EE8"/>
    <w:rsid w:val="3E5B41D6"/>
    <w:rsid w:val="3E7D466F"/>
    <w:rsid w:val="3E964B98"/>
    <w:rsid w:val="3EAD26A1"/>
    <w:rsid w:val="3ECE16FA"/>
    <w:rsid w:val="3F3542FD"/>
    <w:rsid w:val="3F3D7D5A"/>
    <w:rsid w:val="3F4118C8"/>
    <w:rsid w:val="3F5C676A"/>
    <w:rsid w:val="3F651AFB"/>
    <w:rsid w:val="3F6A392E"/>
    <w:rsid w:val="3FF55768"/>
    <w:rsid w:val="40093B4F"/>
    <w:rsid w:val="40350A49"/>
    <w:rsid w:val="40460408"/>
    <w:rsid w:val="40462AC9"/>
    <w:rsid w:val="40566CBF"/>
    <w:rsid w:val="40662F6F"/>
    <w:rsid w:val="40776BAF"/>
    <w:rsid w:val="407921CE"/>
    <w:rsid w:val="407E35C5"/>
    <w:rsid w:val="40C04FE0"/>
    <w:rsid w:val="40E55B37"/>
    <w:rsid w:val="418530B3"/>
    <w:rsid w:val="41AA7137"/>
    <w:rsid w:val="41AF6A7A"/>
    <w:rsid w:val="41EC58FB"/>
    <w:rsid w:val="41F931F1"/>
    <w:rsid w:val="42157286"/>
    <w:rsid w:val="422A484C"/>
    <w:rsid w:val="422A51CF"/>
    <w:rsid w:val="4231331F"/>
    <w:rsid w:val="42381A71"/>
    <w:rsid w:val="426B0C9E"/>
    <w:rsid w:val="42841694"/>
    <w:rsid w:val="429266C7"/>
    <w:rsid w:val="42AF1322"/>
    <w:rsid w:val="42B30ACF"/>
    <w:rsid w:val="42D25CAE"/>
    <w:rsid w:val="42E73C10"/>
    <w:rsid w:val="43364422"/>
    <w:rsid w:val="43536857"/>
    <w:rsid w:val="43BB7215"/>
    <w:rsid w:val="43BC4F26"/>
    <w:rsid w:val="43EE582E"/>
    <w:rsid w:val="43F26C2E"/>
    <w:rsid w:val="43FB3DA4"/>
    <w:rsid w:val="44100560"/>
    <w:rsid w:val="441C4006"/>
    <w:rsid w:val="44752C18"/>
    <w:rsid w:val="449E489D"/>
    <w:rsid w:val="44B24294"/>
    <w:rsid w:val="44CF520F"/>
    <w:rsid w:val="44D50483"/>
    <w:rsid w:val="451019FB"/>
    <w:rsid w:val="451B2715"/>
    <w:rsid w:val="45361837"/>
    <w:rsid w:val="4543370D"/>
    <w:rsid w:val="455B13AC"/>
    <w:rsid w:val="45CF3CD0"/>
    <w:rsid w:val="45F6393A"/>
    <w:rsid w:val="46037BDC"/>
    <w:rsid w:val="460567D8"/>
    <w:rsid w:val="4626023B"/>
    <w:rsid w:val="462F25DF"/>
    <w:rsid w:val="46620161"/>
    <w:rsid w:val="46C17C69"/>
    <w:rsid w:val="46E63986"/>
    <w:rsid w:val="46FC7DAE"/>
    <w:rsid w:val="470463F8"/>
    <w:rsid w:val="47971B97"/>
    <w:rsid w:val="479F63EE"/>
    <w:rsid w:val="47C304FD"/>
    <w:rsid w:val="47C357A6"/>
    <w:rsid w:val="47D77F02"/>
    <w:rsid w:val="4815186D"/>
    <w:rsid w:val="481C0488"/>
    <w:rsid w:val="485A4BA7"/>
    <w:rsid w:val="487C3875"/>
    <w:rsid w:val="48977283"/>
    <w:rsid w:val="48A90F1E"/>
    <w:rsid w:val="48D87023"/>
    <w:rsid w:val="48FA3778"/>
    <w:rsid w:val="4975258C"/>
    <w:rsid w:val="49896512"/>
    <w:rsid w:val="4996414B"/>
    <w:rsid w:val="49987D21"/>
    <w:rsid w:val="49BA3D71"/>
    <w:rsid w:val="49CC5B3C"/>
    <w:rsid w:val="49FD54E4"/>
    <w:rsid w:val="4A3011C6"/>
    <w:rsid w:val="4A5C70F1"/>
    <w:rsid w:val="4AAD275D"/>
    <w:rsid w:val="4AB61A05"/>
    <w:rsid w:val="4AF26B9D"/>
    <w:rsid w:val="4B2B1C31"/>
    <w:rsid w:val="4B48494A"/>
    <w:rsid w:val="4B4D3210"/>
    <w:rsid w:val="4B7E5274"/>
    <w:rsid w:val="4BB65435"/>
    <w:rsid w:val="4BCE1489"/>
    <w:rsid w:val="4BCE28BF"/>
    <w:rsid w:val="4BEA1EE4"/>
    <w:rsid w:val="4BF830BC"/>
    <w:rsid w:val="4C293566"/>
    <w:rsid w:val="4C2C1C2C"/>
    <w:rsid w:val="4C4E4313"/>
    <w:rsid w:val="4C553BEB"/>
    <w:rsid w:val="4C663381"/>
    <w:rsid w:val="4C723787"/>
    <w:rsid w:val="4C783FE1"/>
    <w:rsid w:val="4CF05EAC"/>
    <w:rsid w:val="4D102CB4"/>
    <w:rsid w:val="4D496F28"/>
    <w:rsid w:val="4D9E609E"/>
    <w:rsid w:val="4E0243C8"/>
    <w:rsid w:val="4E345636"/>
    <w:rsid w:val="4E4B7F63"/>
    <w:rsid w:val="4E652C5C"/>
    <w:rsid w:val="4E9105E7"/>
    <w:rsid w:val="4EB053BD"/>
    <w:rsid w:val="4ED36EFC"/>
    <w:rsid w:val="4ED84E86"/>
    <w:rsid w:val="4F7E6A12"/>
    <w:rsid w:val="4FBC6FAF"/>
    <w:rsid w:val="4FDC68F3"/>
    <w:rsid w:val="4FE74185"/>
    <w:rsid w:val="4FFF46BE"/>
    <w:rsid w:val="50005DA1"/>
    <w:rsid w:val="5041435B"/>
    <w:rsid w:val="50564CCA"/>
    <w:rsid w:val="505A1CB0"/>
    <w:rsid w:val="5090049B"/>
    <w:rsid w:val="509778C7"/>
    <w:rsid w:val="5170523B"/>
    <w:rsid w:val="51773E2A"/>
    <w:rsid w:val="51813803"/>
    <w:rsid w:val="519A116B"/>
    <w:rsid w:val="51A40397"/>
    <w:rsid w:val="51C53170"/>
    <w:rsid w:val="5280421D"/>
    <w:rsid w:val="52BF27F0"/>
    <w:rsid w:val="530F6914"/>
    <w:rsid w:val="535E62F0"/>
    <w:rsid w:val="5361709F"/>
    <w:rsid w:val="53705401"/>
    <w:rsid w:val="537509F0"/>
    <w:rsid w:val="53752E8D"/>
    <w:rsid w:val="53832E83"/>
    <w:rsid w:val="53A24A91"/>
    <w:rsid w:val="53AA30EC"/>
    <w:rsid w:val="53D005D1"/>
    <w:rsid w:val="540D782C"/>
    <w:rsid w:val="542F1421"/>
    <w:rsid w:val="54342D0E"/>
    <w:rsid w:val="543973F0"/>
    <w:rsid w:val="543B3AF3"/>
    <w:rsid w:val="544B51D2"/>
    <w:rsid w:val="544F7EFC"/>
    <w:rsid w:val="546C32BA"/>
    <w:rsid w:val="547733F4"/>
    <w:rsid w:val="54B156BA"/>
    <w:rsid w:val="54F516DC"/>
    <w:rsid w:val="550D509F"/>
    <w:rsid w:val="5553143F"/>
    <w:rsid w:val="55803BD8"/>
    <w:rsid w:val="55B42DC5"/>
    <w:rsid w:val="55C82763"/>
    <w:rsid w:val="55CE50F9"/>
    <w:rsid w:val="56063D06"/>
    <w:rsid w:val="561E43E8"/>
    <w:rsid w:val="56243301"/>
    <w:rsid w:val="567B20DA"/>
    <w:rsid w:val="56943FE8"/>
    <w:rsid w:val="56DA5A5F"/>
    <w:rsid w:val="57563E7B"/>
    <w:rsid w:val="57600E00"/>
    <w:rsid w:val="577E3F1D"/>
    <w:rsid w:val="57C70008"/>
    <w:rsid w:val="586B2608"/>
    <w:rsid w:val="5879595C"/>
    <w:rsid w:val="588331BE"/>
    <w:rsid w:val="58BB22A0"/>
    <w:rsid w:val="58D16F7B"/>
    <w:rsid w:val="592D7AE2"/>
    <w:rsid w:val="593554F0"/>
    <w:rsid w:val="59BA5947"/>
    <w:rsid w:val="59F967B7"/>
    <w:rsid w:val="5A194DBF"/>
    <w:rsid w:val="5A3078C5"/>
    <w:rsid w:val="5A345E12"/>
    <w:rsid w:val="5A683B4A"/>
    <w:rsid w:val="5A7A4DB9"/>
    <w:rsid w:val="5AC16AE9"/>
    <w:rsid w:val="5ADF3A74"/>
    <w:rsid w:val="5AE53367"/>
    <w:rsid w:val="5B0B0083"/>
    <w:rsid w:val="5B1254E6"/>
    <w:rsid w:val="5BC3228B"/>
    <w:rsid w:val="5BFC28DA"/>
    <w:rsid w:val="5C3B1FEA"/>
    <w:rsid w:val="5C6A01BF"/>
    <w:rsid w:val="5C792CC0"/>
    <w:rsid w:val="5CC64B8C"/>
    <w:rsid w:val="5CCB2C0B"/>
    <w:rsid w:val="5CEB6783"/>
    <w:rsid w:val="5D041ECD"/>
    <w:rsid w:val="5D4807BB"/>
    <w:rsid w:val="5D5A4DD1"/>
    <w:rsid w:val="5D5E1AC8"/>
    <w:rsid w:val="5E051414"/>
    <w:rsid w:val="5E206741"/>
    <w:rsid w:val="5E2D4C21"/>
    <w:rsid w:val="5E820037"/>
    <w:rsid w:val="5EE41E2E"/>
    <w:rsid w:val="5F0F00DA"/>
    <w:rsid w:val="5F9F42F8"/>
    <w:rsid w:val="60017F85"/>
    <w:rsid w:val="60032276"/>
    <w:rsid w:val="600C3AE0"/>
    <w:rsid w:val="6045086B"/>
    <w:rsid w:val="607356CF"/>
    <w:rsid w:val="60745B63"/>
    <w:rsid w:val="60AC01F6"/>
    <w:rsid w:val="60BC1BBF"/>
    <w:rsid w:val="60E50451"/>
    <w:rsid w:val="60F55882"/>
    <w:rsid w:val="60F64A32"/>
    <w:rsid w:val="61051332"/>
    <w:rsid w:val="616A21E7"/>
    <w:rsid w:val="61856B0D"/>
    <w:rsid w:val="61B601DF"/>
    <w:rsid w:val="623928B9"/>
    <w:rsid w:val="62812953"/>
    <w:rsid w:val="62B7743E"/>
    <w:rsid w:val="62B8352F"/>
    <w:rsid w:val="62DD3C86"/>
    <w:rsid w:val="62EF63FA"/>
    <w:rsid w:val="63061571"/>
    <w:rsid w:val="632B39DC"/>
    <w:rsid w:val="639D47D1"/>
    <w:rsid w:val="63C84437"/>
    <w:rsid w:val="64116858"/>
    <w:rsid w:val="6429194D"/>
    <w:rsid w:val="642B0065"/>
    <w:rsid w:val="64310139"/>
    <w:rsid w:val="64550D9E"/>
    <w:rsid w:val="648727EC"/>
    <w:rsid w:val="648D5222"/>
    <w:rsid w:val="649D0CB0"/>
    <w:rsid w:val="64B2258D"/>
    <w:rsid w:val="64DE359C"/>
    <w:rsid w:val="64E30C9E"/>
    <w:rsid w:val="64E86D2F"/>
    <w:rsid w:val="657C25FC"/>
    <w:rsid w:val="65997784"/>
    <w:rsid w:val="65A976E6"/>
    <w:rsid w:val="65C64C37"/>
    <w:rsid w:val="65D01190"/>
    <w:rsid w:val="66197BB5"/>
    <w:rsid w:val="66AB371C"/>
    <w:rsid w:val="66AE1192"/>
    <w:rsid w:val="66CA69C3"/>
    <w:rsid w:val="6749368B"/>
    <w:rsid w:val="6794708A"/>
    <w:rsid w:val="6797333C"/>
    <w:rsid w:val="679B4C9F"/>
    <w:rsid w:val="67BD5472"/>
    <w:rsid w:val="67CE0CE2"/>
    <w:rsid w:val="67DA4215"/>
    <w:rsid w:val="67E42DFA"/>
    <w:rsid w:val="67ED44CB"/>
    <w:rsid w:val="681D58BA"/>
    <w:rsid w:val="68EB3ADC"/>
    <w:rsid w:val="69240005"/>
    <w:rsid w:val="69462386"/>
    <w:rsid w:val="694B5531"/>
    <w:rsid w:val="697206C8"/>
    <w:rsid w:val="698624ED"/>
    <w:rsid w:val="69C96ADD"/>
    <w:rsid w:val="69DC5A3B"/>
    <w:rsid w:val="69E50464"/>
    <w:rsid w:val="6A12713E"/>
    <w:rsid w:val="6A2F06BE"/>
    <w:rsid w:val="6A7016FE"/>
    <w:rsid w:val="6AE007F2"/>
    <w:rsid w:val="6AFC6812"/>
    <w:rsid w:val="6B5E2EC6"/>
    <w:rsid w:val="6B7575DB"/>
    <w:rsid w:val="6C42065A"/>
    <w:rsid w:val="6C6F44FD"/>
    <w:rsid w:val="6C8C6D07"/>
    <w:rsid w:val="6C9E7796"/>
    <w:rsid w:val="6CB759F8"/>
    <w:rsid w:val="6CD4731D"/>
    <w:rsid w:val="6D121910"/>
    <w:rsid w:val="6D3205F0"/>
    <w:rsid w:val="6D4C048E"/>
    <w:rsid w:val="6D5C5991"/>
    <w:rsid w:val="6D681BA3"/>
    <w:rsid w:val="6D862B60"/>
    <w:rsid w:val="6DB702B4"/>
    <w:rsid w:val="6DDA285B"/>
    <w:rsid w:val="6E120660"/>
    <w:rsid w:val="6E4462CC"/>
    <w:rsid w:val="6E482C86"/>
    <w:rsid w:val="6E504618"/>
    <w:rsid w:val="6EB20078"/>
    <w:rsid w:val="6F5579D7"/>
    <w:rsid w:val="6F801AF8"/>
    <w:rsid w:val="6F8D5AAE"/>
    <w:rsid w:val="6FB57303"/>
    <w:rsid w:val="6FB7010B"/>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18185D"/>
    <w:rsid w:val="7322549D"/>
    <w:rsid w:val="7327462F"/>
    <w:rsid w:val="732F59FD"/>
    <w:rsid w:val="73364BC8"/>
    <w:rsid w:val="734B5574"/>
    <w:rsid w:val="7355417D"/>
    <w:rsid w:val="736C3FBB"/>
    <w:rsid w:val="73821201"/>
    <w:rsid w:val="73A85DC8"/>
    <w:rsid w:val="73C54686"/>
    <w:rsid w:val="73D14742"/>
    <w:rsid w:val="73E217DB"/>
    <w:rsid w:val="73ED43C1"/>
    <w:rsid w:val="740F6E24"/>
    <w:rsid w:val="741866C3"/>
    <w:rsid w:val="74285611"/>
    <w:rsid w:val="7430057A"/>
    <w:rsid w:val="74573DE9"/>
    <w:rsid w:val="74626087"/>
    <w:rsid w:val="749D37F7"/>
    <w:rsid w:val="74BC6C8B"/>
    <w:rsid w:val="74D53B99"/>
    <w:rsid w:val="754C1AAF"/>
    <w:rsid w:val="75CF2BC9"/>
    <w:rsid w:val="76242FB1"/>
    <w:rsid w:val="762B3711"/>
    <w:rsid w:val="764C12D0"/>
    <w:rsid w:val="76696B17"/>
    <w:rsid w:val="76696D01"/>
    <w:rsid w:val="76991F3B"/>
    <w:rsid w:val="76BD4E1F"/>
    <w:rsid w:val="76D8737F"/>
    <w:rsid w:val="76E279D7"/>
    <w:rsid w:val="76FC2715"/>
    <w:rsid w:val="7718204C"/>
    <w:rsid w:val="772E0626"/>
    <w:rsid w:val="7752184A"/>
    <w:rsid w:val="7754709D"/>
    <w:rsid w:val="776E285A"/>
    <w:rsid w:val="77B02D8D"/>
    <w:rsid w:val="77B23404"/>
    <w:rsid w:val="77C0093D"/>
    <w:rsid w:val="77C90B9C"/>
    <w:rsid w:val="77DB4D3A"/>
    <w:rsid w:val="77EF22D8"/>
    <w:rsid w:val="7811438D"/>
    <w:rsid w:val="78204380"/>
    <w:rsid w:val="78384CBC"/>
    <w:rsid w:val="784258BF"/>
    <w:rsid w:val="793758F2"/>
    <w:rsid w:val="79C0590F"/>
    <w:rsid w:val="7A080BBF"/>
    <w:rsid w:val="7A4F2396"/>
    <w:rsid w:val="7A787ECB"/>
    <w:rsid w:val="7A875FC6"/>
    <w:rsid w:val="7A8B51CB"/>
    <w:rsid w:val="7A984514"/>
    <w:rsid w:val="7AB507FA"/>
    <w:rsid w:val="7AC634CB"/>
    <w:rsid w:val="7ACB482C"/>
    <w:rsid w:val="7AE7260F"/>
    <w:rsid w:val="7AEB331B"/>
    <w:rsid w:val="7AF137EF"/>
    <w:rsid w:val="7B100283"/>
    <w:rsid w:val="7B2531D6"/>
    <w:rsid w:val="7B5B11D8"/>
    <w:rsid w:val="7BB76EB8"/>
    <w:rsid w:val="7BC61E70"/>
    <w:rsid w:val="7C41564D"/>
    <w:rsid w:val="7C8E16C9"/>
    <w:rsid w:val="7C91123B"/>
    <w:rsid w:val="7CA10AF6"/>
    <w:rsid w:val="7CB561C0"/>
    <w:rsid w:val="7CCC277F"/>
    <w:rsid w:val="7CCD3BF4"/>
    <w:rsid w:val="7CE3033A"/>
    <w:rsid w:val="7D0A2590"/>
    <w:rsid w:val="7D215010"/>
    <w:rsid w:val="7D550752"/>
    <w:rsid w:val="7D6A7A29"/>
    <w:rsid w:val="7D712B47"/>
    <w:rsid w:val="7DA0035E"/>
    <w:rsid w:val="7DCC5A45"/>
    <w:rsid w:val="7E630B4F"/>
    <w:rsid w:val="7E8B6D0C"/>
    <w:rsid w:val="7EFA29D7"/>
    <w:rsid w:val="7F285EA4"/>
    <w:rsid w:val="7F787EDB"/>
    <w:rsid w:val="7F8E2750"/>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17870EBA-560E-4E7C-A664-22A449C60D13}">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2021-05-11T08:56:48Z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